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Style20"/>
        <w:widowControl w:val="false"/>
        <w:jc w:val="center"/>
        <w:rPr>
          <w:b/>
          <w:b/>
          <w:sz w:val="25"/>
          <w:szCs w:val="25"/>
        </w:rPr>
      </w:pPr>
      <w:r>
        <w:rPr>
          <w:b/>
          <w:sz w:val="25"/>
          <w:szCs w:val="25"/>
        </w:rPr>
        <w:t>ГОСУДАРСТВЕННЫЙ КОНТРАКТ № ________________________</w:t>
      </w:r>
    </w:p>
    <w:p>
      <w:pPr>
        <w:pStyle w:val="Normal"/>
        <w:jc w:val="center"/>
        <w:textAlignment w:val="center"/>
        <w:rPr>
          <w:b/>
          <w:b/>
          <w:sz w:val="25"/>
          <w:szCs w:val="25"/>
        </w:rPr>
      </w:pPr>
      <w:r>
        <w:rPr>
          <w:b/>
          <w:sz w:val="25"/>
          <w:szCs w:val="25"/>
        </w:rPr>
        <w:t>ИКЗ _____________________________________</w:t>
      </w:r>
    </w:p>
    <w:p>
      <w:pPr>
        <w:pStyle w:val="Style20"/>
        <w:widowControl w:val="false"/>
        <w:rPr>
          <w:sz w:val="25"/>
          <w:szCs w:val="25"/>
        </w:rPr>
      </w:pPr>
      <w:r>
        <w:rPr>
          <w:sz w:val="25"/>
          <w:szCs w:val="25"/>
        </w:rPr>
      </w:r>
    </w:p>
    <w:tbl>
      <w:tblPr>
        <w:tblW w:w="9463" w:type="dxa"/>
        <w:jc w:val="left"/>
        <w:tblInd w:w="109" w:type="dxa"/>
        <w:tblLayout w:type="fixed"/>
        <w:tblCellMar>
          <w:top w:w="0" w:type="dxa"/>
          <w:left w:w="108" w:type="dxa"/>
          <w:bottom w:w="0" w:type="dxa"/>
          <w:right w:w="108" w:type="dxa"/>
        </w:tblCellMar>
        <w:tblLook w:val="0000"/>
      </w:tblPr>
      <w:tblGrid>
        <w:gridCol w:w="4612"/>
        <w:gridCol w:w="4850"/>
      </w:tblGrid>
      <w:tr>
        <w:trPr>
          <w:trHeight w:val="382" w:hRule="atLeast"/>
        </w:trPr>
        <w:tc>
          <w:tcPr>
            <w:tcW w:w="4612" w:type="dxa"/>
            <w:tcBorders/>
            <w:vAlign w:val="center"/>
          </w:tcPr>
          <w:p>
            <w:pPr>
              <w:pStyle w:val="Normal"/>
              <w:widowControl w:val="false"/>
              <w:jc w:val="both"/>
              <w:rPr/>
            </w:pPr>
            <w:r>
              <w:rPr/>
              <w:t>г. Н Новгород</w:t>
            </w:r>
          </w:p>
        </w:tc>
        <w:tc>
          <w:tcPr>
            <w:tcW w:w="4850" w:type="dxa"/>
            <w:tcBorders/>
            <w:vAlign w:val="center"/>
          </w:tcPr>
          <w:p>
            <w:pPr>
              <w:pStyle w:val="Normal"/>
              <w:widowControl w:val="false"/>
              <w:jc w:val="both"/>
              <w:rPr/>
            </w:pPr>
            <w:r>
              <w:rPr/>
              <w:t xml:space="preserve">                                         </w:t>
            </w:r>
            <w:r>
              <w:rPr/>
              <w:t>«____» _____________ 20__ г.</w:t>
            </w:r>
          </w:p>
        </w:tc>
      </w:tr>
    </w:tbl>
    <w:p>
      <w:pPr>
        <w:pStyle w:val="Normal"/>
        <w:widowControl/>
        <w:suppressAutoHyphens w:val="true"/>
        <w:bidi w:val="0"/>
        <w:spacing w:lineRule="auto" w:line="240" w:before="0" w:after="0"/>
        <w:ind w:left="0" w:right="0" w:hanging="0"/>
        <w:jc w:val="both"/>
        <w:rPr/>
      </w:pPr>
      <w:r>
        <w:rPr/>
        <w:t>_______________________________________________________, именуемый в дальнейшем «Заказчик», в лице ____________________________________________________, действующего на основании _____________________________________________, с одной стороны, и _________________________________________________________________________, именуемое в дальнейшем «Исполнитель», в лице начальника _____________________________________________, действующего на основании _________________________________________________________________, с другой стороны, далее совместно именуемые «Стороны», на основании протокола подведения итогов электронного аукциона заключили настоящий государственный контракт (далее – Контракт) о нижеследующем:</w:t>
      </w:r>
    </w:p>
    <w:p>
      <w:pPr>
        <w:pStyle w:val="Normal"/>
        <w:numPr>
          <w:ilvl w:val="0"/>
          <w:numId w:val="1"/>
        </w:numPr>
        <w:spacing w:lineRule="exact" w:line="320"/>
        <w:jc w:val="center"/>
        <w:rPr>
          <w:b/>
          <w:b/>
        </w:rPr>
      </w:pPr>
      <w:r>
        <w:rPr>
          <w:b/>
        </w:rPr>
        <w:t>ПРЕДМЕТ КОНТРАКТА</w:t>
      </w:r>
    </w:p>
    <w:p>
      <w:pPr>
        <w:pStyle w:val="Normal"/>
        <w:ind w:firstLine="567"/>
        <w:jc w:val="both"/>
        <w:rPr/>
      </w:pPr>
      <w:r>
        <w:rPr>
          <w:color w:val="000000"/>
          <w:spacing w:val="-14"/>
        </w:rPr>
        <w:t xml:space="preserve">1.1. </w:t>
      </w:r>
      <w:r>
        <w:rPr/>
        <w:t>«Заказчик» передает, а «Исполнитель» принимает под военизированную охрану (военизированная с использованием специальных средств объекты, перечисленные в прилагаемом к настоящему Государственному контракту Перечне охраняемых объектов (Приложение № 1).</w:t>
      </w:r>
    </w:p>
    <w:p>
      <w:pPr>
        <w:pStyle w:val="Normal"/>
        <w:ind w:firstLine="567"/>
        <w:jc w:val="both"/>
        <w:rPr>
          <w:color w:val="000000"/>
          <w:spacing w:val="1"/>
        </w:rPr>
      </w:pPr>
      <w:r>
        <w:rPr/>
        <w:t>1.2 Под военизированной охраной подразумевается предупреждение и пресечение любых противоправных действий на охраняемом объекте, направленных на нарушение установленного контрольно-пропускного режима и незаконное завладение имуществом и материальными ценностями «Заказчика».</w:t>
      </w:r>
    </w:p>
    <w:p>
      <w:pPr>
        <w:pStyle w:val="Normal"/>
        <w:shd w:val="clear" w:color="auto" w:fill="FFFFFF"/>
        <w:ind w:firstLine="567"/>
        <w:jc w:val="both"/>
        <w:rPr>
          <w:color w:val="000000"/>
          <w:spacing w:val="3"/>
        </w:rPr>
      </w:pPr>
      <w:r>
        <w:rPr>
          <w:color w:val="000000"/>
          <w:spacing w:val="3"/>
        </w:rPr>
        <w:t>1.3«Заказчик» обязуется своевременно и в полном объеме производить оплату за услуги «Исполнителя».</w:t>
      </w:r>
    </w:p>
    <w:p>
      <w:pPr>
        <w:pStyle w:val="BodyTextIndent2"/>
        <w:spacing w:before="0" w:after="0"/>
        <w:ind w:left="0" w:hanging="0"/>
        <w:jc w:val="center"/>
        <w:rPr/>
      </w:pPr>
      <w:r>
        <w:rPr>
          <w:b/>
          <w:bCs/>
        </w:rPr>
        <w:t>2. ЦЕНА И ПОРЯДОК ПРИЕМКИ УСЛУГ</w:t>
      </w:r>
    </w:p>
    <w:p>
      <w:pPr>
        <w:pStyle w:val="BodyTextIndent2"/>
        <w:spacing w:lineRule="auto" w:line="240" w:before="0" w:after="0"/>
        <w:ind w:left="0" w:firstLine="567"/>
        <w:contextualSpacing/>
        <w:jc w:val="both"/>
        <w:rPr/>
      </w:pPr>
      <w:r>
        <w:rPr/>
        <w:t>2.1. Стоимость оказываемых услуг в месяц указана в Перечне объектов, передаваемых под охрану (Приложение № 1). Сумма Государственного контракта составляет в период с ______________  по __________________  составляет _____________ (_________________________________________) рубля ___ копейеи, в том числе НДС -20%. Сумма контракта является твердой и определена на весь срок исполнения контракта.</w:t>
      </w:r>
    </w:p>
    <w:p>
      <w:pPr>
        <w:pStyle w:val="Normal"/>
        <w:shd w:val="clear" w:color="auto" w:fill="FFFFFF"/>
        <w:spacing w:before="0" w:after="0"/>
        <w:ind w:firstLine="567"/>
        <w:contextualSpacing/>
        <w:jc w:val="both"/>
        <w:rPr/>
      </w:pPr>
      <w:r>
        <w:rPr/>
        <w:t>2.2. Оплата за услуги производится «Заказчиком» ежемесячно по факту оказания услуг в течение 7 (семи) банковских дней с даты предоставления «Исполнителем» счета, счета-фактуры и подписанного Сторонами акта оказанных услуг, путем перечисления на расчетный счет «Исполнителя.</w:t>
      </w:r>
    </w:p>
    <w:p>
      <w:pPr>
        <w:pStyle w:val="Normal"/>
        <w:tabs>
          <w:tab w:val="clear" w:pos="708"/>
          <w:tab w:val="center" w:pos="4677" w:leader="none"/>
          <w:tab w:val="right" w:pos="9355" w:leader="none"/>
        </w:tabs>
        <w:spacing w:before="0" w:after="0"/>
        <w:ind w:firstLine="567"/>
        <w:contextualSpacing/>
        <w:jc w:val="both"/>
        <w:rPr/>
      </w:pPr>
      <w:r>
        <w:rPr/>
        <w:t>2.3. Оказание Услуг оформляется Актом сдачи-приемки услуг (Приложение № 3). Акт сдачи-приемки подписывается уполномоченными лицами Исполнителя и Заказчика (Приложение №2).</w:t>
      </w:r>
    </w:p>
    <w:p>
      <w:pPr>
        <w:pStyle w:val="Normal"/>
        <w:tabs>
          <w:tab w:val="clear" w:pos="708"/>
          <w:tab w:val="center" w:pos="4677" w:leader="none"/>
          <w:tab w:val="right" w:pos="9355" w:leader="none"/>
        </w:tabs>
        <w:ind w:firstLine="567"/>
        <w:jc w:val="both"/>
        <w:rPr/>
      </w:pPr>
      <w:r>
        <w:rPr/>
        <w:t>2.4. Исполнитель предоставляет Заказчику в срок не позднее 05 (пятого) числа месяца, следующего за отчетным, следующие документы:</w:t>
      </w:r>
    </w:p>
    <w:p>
      <w:pPr>
        <w:pStyle w:val="Normal"/>
        <w:tabs>
          <w:tab w:val="clear" w:pos="708"/>
          <w:tab w:val="center" w:pos="4677" w:leader="none"/>
          <w:tab w:val="right" w:pos="9355" w:leader="none"/>
        </w:tabs>
        <w:ind w:firstLine="567"/>
        <w:jc w:val="both"/>
        <w:rPr/>
      </w:pPr>
      <w:r>
        <w:rPr/>
        <w:t>- счет с указанием номера Контракта и даты его заключения;</w:t>
      </w:r>
    </w:p>
    <w:p>
      <w:pPr>
        <w:pStyle w:val="Normal"/>
        <w:tabs>
          <w:tab w:val="clear" w:pos="708"/>
          <w:tab w:val="center" w:pos="4677" w:leader="none"/>
          <w:tab w:val="right" w:pos="9355" w:leader="none"/>
        </w:tabs>
        <w:ind w:firstLine="567"/>
        <w:jc w:val="both"/>
        <w:rPr/>
      </w:pPr>
      <w:r>
        <w:rPr/>
        <w:t>- счет-фактуру на оказанные Услуги с указанием номера Контракта и даты его заключения;</w:t>
      </w:r>
    </w:p>
    <w:p>
      <w:pPr>
        <w:pStyle w:val="Normal"/>
        <w:tabs>
          <w:tab w:val="clear" w:pos="708"/>
          <w:tab w:val="center" w:pos="4677" w:leader="none"/>
          <w:tab w:val="right" w:pos="9355" w:leader="none"/>
        </w:tabs>
        <w:ind w:firstLine="567"/>
        <w:jc w:val="both"/>
        <w:rPr/>
      </w:pPr>
      <w:r>
        <w:rPr/>
        <w:t>- Акт сдачи-приемки услуг в 2 экземплярах с указанием стоимости оказанных Услуг за отчетный период.</w:t>
      </w:r>
    </w:p>
    <w:p>
      <w:pPr>
        <w:pStyle w:val="Normal"/>
        <w:tabs>
          <w:tab w:val="clear" w:pos="708"/>
          <w:tab w:val="center" w:pos="4677" w:leader="none"/>
          <w:tab w:val="right" w:pos="9355" w:leader="none"/>
        </w:tabs>
        <w:ind w:firstLine="567"/>
        <w:jc w:val="both"/>
        <w:rPr/>
      </w:pPr>
      <w:r>
        <w:rPr/>
        <w:t>2.5. Не позднее 3 рабочих дней после получения от Исполнителя документов, указанных в п.5.2. Контракта, уполномоченный представитель Заказчика рассматривает результаты оказания Услуг за соответствующий месяц на предмет соответствия их требованиям, изложенным в Контракте, после чего направляет Исполнителю подписанный Акт сдачи-приемки услуг либо мотивированный отказ от приемки оказанных Услуг за соответствующий месяц.</w:t>
      </w:r>
    </w:p>
    <w:p>
      <w:pPr>
        <w:pStyle w:val="Normal"/>
        <w:tabs>
          <w:tab w:val="clear" w:pos="708"/>
          <w:tab w:val="center" w:pos="4677" w:leader="none"/>
          <w:tab w:val="right" w:pos="9355" w:leader="none"/>
        </w:tabs>
        <w:ind w:firstLine="567"/>
        <w:jc w:val="both"/>
        <w:rPr/>
      </w:pPr>
      <w:r>
        <w:rPr/>
        <w:t xml:space="preserve">2.6. Обязательства Исполнителя по оказанию Услуг считаются выполненными с момента подписания Заказчиком Акта сдачи-приемки услуг. В случае не подписания Заказчиком Акта сдачи-приемки услуг в течение 3 рабочих дней и непредставления Исполнителю мотивированного письменного отказа от приемки Услуг, Услуги считаются оказанными в полном объеме и надлежащего качества. </w:t>
      </w:r>
    </w:p>
    <w:p>
      <w:pPr>
        <w:pStyle w:val="Normal"/>
        <w:shd w:val="clear" w:color="auto" w:fill="FFFFFF"/>
        <w:ind w:firstLine="567"/>
        <w:jc w:val="both"/>
        <w:rPr/>
      </w:pPr>
      <w:r>
        <w:rPr/>
        <w:t>2.7. В соответствии с подпунктом а) пункта 1 части 1 статьи 95 Федерального закона от 05.04.2013 г. № 44-ФЗ «О контрактной системе в сфере закупок товаров, работ, услуг для обеспечения государственных и муниципальных нужд», цена Контракта может быть снижена по соглашению Сторон без изменения, предусмотренного Контрактом объема Услуг  и иных условий исполнения Контракта.</w:t>
      </w:r>
    </w:p>
    <w:p>
      <w:pPr>
        <w:pStyle w:val="Normal"/>
        <w:shd w:val="clear" w:color="auto" w:fill="FFFFFF"/>
        <w:ind w:firstLine="567"/>
        <w:jc w:val="both"/>
        <w:rPr/>
      </w:pPr>
      <w:r>
        <w:rPr/>
        <w:t>2.8. В соответствии с подпунктом б) пункта 1 части 1 статьи 95 Федерального закона от 05.04.2013 г. № 44-ФЗ «О контрактной системе в сфере закупок товаров, работ, услуг для обеспечения государственных и муниципальных нужд», может быть увеличен или уменьшен предусмотренный Контрактом объем услуг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объему услуг, но не более чем на десять процентов цены Контракта, исходя из установленной в Контракте цены единицы услуги. При уменьшении предусмотренного Контрактом объема услуг стороны Контракта обязаны уменьшить цену Контракта, исходя из установленной в Контракте цены единицы услуги.</w:t>
      </w:r>
    </w:p>
    <w:p>
      <w:pPr>
        <w:pStyle w:val="Normal"/>
        <w:widowControl w:val="false"/>
        <w:ind w:firstLine="567"/>
        <w:jc w:val="both"/>
        <w:rPr/>
      </w:pPr>
      <w:r>
        <w:rPr/>
        <w:t>2.9. Поставщик по окончании поставки товара не позднее 5 (пяти) календарных дней формирует с использованием единой информационной системы в сфере закупок (далее – ЕИС), подписывает усиленной электронной подписью лица, имеющего право действовать от имени Поставщика, и размещает в ЕИС документ о приемке, в том числе товарную накладную, который должен содержать информацию, предусмотренную статьей 94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Закон № 44-ФЗ): идентификационный код закупки, наименование, место нахождения Заказчика (Получателя), наименование объекта закупки, информацию о Поставщике, в том числе  полное и сокращенное (при наличии) наименование Поставщика, его адрес, электронную почту и телефон, ИНН, так же единицу измерения и количество поставленного товара, место поставки товара, стоимость исполненных Поставщиком обязательств, предусмотренных Контрактом, с указанием цены за единицу, сведения о Получателе, иную требуемую информацию.</w:t>
      </w:r>
    </w:p>
    <w:p>
      <w:pPr>
        <w:pStyle w:val="Normal"/>
        <w:widowControl w:val="false"/>
        <w:ind w:firstLine="567"/>
        <w:jc w:val="both"/>
        <w:rPr/>
      </w:pPr>
      <w:r>
        <w:rPr/>
        <w:t>В документе о приемке должна содержаться информация о фактическом количестве и перечне поставленного товара, цене каждой единицы товара, общей стоимости товара.</w:t>
      </w:r>
    </w:p>
    <w:p>
      <w:pPr>
        <w:pStyle w:val="Normal"/>
        <w:widowControl w:val="false"/>
        <w:ind w:firstLine="567"/>
        <w:jc w:val="both"/>
        <w:rPr/>
      </w:pPr>
      <w:r>
        <w:rPr/>
        <w:t>К документу о приемке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в ЕИС, приоритет имеет информация, содержащаяся в документе о приемке в ЕИС.</w:t>
      </w:r>
    </w:p>
    <w:p>
      <w:pPr>
        <w:pStyle w:val="Normal"/>
        <w:ind w:firstLine="567"/>
        <w:jc w:val="both"/>
        <w:rPr/>
      </w:pPr>
      <w:r>
        <w:rPr/>
        <w:t>2.10.</w:t>
        <w:tab/>
        <w:t>Приемка поставленных товаров осуществляется Заказчиком на основании надлежаще оформленных документов, указанных в пунктах 2.9 Контракта.</w:t>
      </w:r>
    </w:p>
    <w:p>
      <w:pPr>
        <w:pStyle w:val="Normal"/>
        <w:ind w:firstLine="567"/>
        <w:jc w:val="both"/>
        <w:rPr/>
      </w:pPr>
      <w:r>
        <w:rPr/>
        <w:t>2.11.</w:t>
        <w:tab/>
        <w:t>Документ о приемке, подписанный Поставщиком, не позднее одного часа с момента его размещения в ЕИС в соответствии с пунктом 2.9 Контракта автоматически с использованием ЕИС направляется Заказчику. Датой поступления Заказчику документа о приемке, подписанного Поставщиком, считается дата размещения такого документа в ЕИС в соответствии с часовой зоной, в которой расположен Заказчик.</w:t>
      </w:r>
    </w:p>
    <w:p>
      <w:pPr>
        <w:pStyle w:val="Normal"/>
        <w:ind w:firstLine="567"/>
        <w:jc w:val="both"/>
        <w:rPr/>
      </w:pPr>
      <w:r>
        <w:rPr/>
        <w:t>2.12.</w:t>
        <w:tab/>
        <w:t>Заказчик в срок не позднее 20 (двадцати) рабочих дней, следующих за днем поступления документа о приемке в соответствии с пунктом 2.11 Контракта, осуществляет следующие действия:</w:t>
      </w:r>
    </w:p>
    <w:p>
      <w:pPr>
        <w:pStyle w:val="Normal"/>
        <w:ind w:firstLine="567"/>
        <w:jc w:val="both"/>
        <w:rPr/>
      </w:pPr>
      <w:r>
        <w:rPr/>
        <w:t>- производит проверку соответствия объемов и качества, фактически поставленных товаров требованиям Контракта;</w:t>
      </w:r>
    </w:p>
    <w:p>
      <w:pPr>
        <w:pStyle w:val="Normal"/>
        <w:ind w:firstLine="567"/>
        <w:jc w:val="both"/>
        <w:rPr/>
      </w:pPr>
      <w:r>
        <w:rPr/>
        <w:t>- осуществляет проверку сведений о видах и объемах поставляемых товаров, содержащихся в представленных документах;</w:t>
      </w:r>
    </w:p>
    <w:p>
      <w:pPr>
        <w:pStyle w:val="Normal"/>
        <w:ind w:firstLine="567"/>
        <w:jc w:val="both"/>
        <w:rPr/>
      </w:pPr>
      <w:r>
        <w:rPr/>
        <w:t>- подписывает усиленной электронной подписью лица, имеющего право действовать от имени Заказчика,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pPr>
        <w:pStyle w:val="Normal"/>
        <w:ind w:firstLine="567"/>
        <w:jc w:val="both"/>
        <w:rPr/>
      </w:pPr>
      <w:r>
        <w:rPr/>
        <w:t>2.13. Документ о приемке, мотивированный отказ от подписания документа о приемке не позднее одного часа с момента размещения в ЕИС в соответствии с пунктом 2.12 настоящего Контракта направляются автоматически с использованием ЕИС Поставщику. Датой поступления Исполнителю документа о приемке, мотивированного отказа от подписания документа о приемке считается дата размещения таких документа о приемке, мотивированного отказа в ЕИС в соответствии с часовой зоной, в которой расположен Поставщик.</w:t>
      </w:r>
    </w:p>
    <w:p>
      <w:pPr>
        <w:pStyle w:val="Normal"/>
        <w:ind w:firstLine="567"/>
        <w:jc w:val="both"/>
        <w:rPr/>
      </w:pPr>
      <w:r>
        <w:rPr/>
        <w:t>2.14. В случае получения в соответствии с пунктом 2.13 настоящего Контракта мотивированного отказа от подписания документа о приемке Поставщик вправе за свой счет в срок не более 5 (пяти) рабочих дней (если иной срок не указан в мотивированном отказе) со дня получения мотивированного отказа устранить причины, указанные в таком мотивированном отказе, и направить Заказчику документ о приемке в порядке, предусмотренном пунктами 2.9 – 2.13 настоящего Контракта.</w:t>
      </w:r>
    </w:p>
    <w:p>
      <w:pPr>
        <w:pStyle w:val="Normal"/>
        <w:ind w:firstLine="567"/>
        <w:jc w:val="both"/>
        <w:rPr/>
      </w:pPr>
      <w:r>
        <w:rPr/>
        <w:t>2.15. После устранения Поставщиком причин мотивированного отказа приемка осуществляется Заказчиком в порядке и сроки, установленные пунктом 2.14 Контракта.</w:t>
      </w:r>
    </w:p>
    <w:p>
      <w:pPr>
        <w:pStyle w:val="Normal"/>
        <w:ind w:firstLine="567"/>
        <w:jc w:val="both"/>
        <w:rPr/>
      </w:pPr>
      <w:r>
        <w:rPr/>
        <w:t>2.16.</w:t>
        <w:tab/>
        <w:t>Датой приемки товаров является дата размещения в ЕИС документа о приемке, подписанного Поставщиком, который в результате приемки подписан Заказчиком.</w:t>
      </w:r>
    </w:p>
    <w:p>
      <w:pPr>
        <w:pStyle w:val="Normal"/>
        <w:ind w:firstLine="567"/>
        <w:jc w:val="both"/>
        <w:rPr/>
      </w:pPr>
      <w:r>
        <w:rPr/>
        <w:t>2.17.</w:t>
        <w:tab/>
        <w:t>Датой приемки товаров считается дата размещения в ЕИС документа о приемке, подписанного Заказчиком.</w:t>
      </w:r>
    </w:p>
    <w:p>
      <w:pPr>
        <w:pStyle w:val="Normal"/>
        <w:ind w:firstLine="567"/>
        <w:jc w:val="both"/>
        <w:rPr/>
      </w:pPr>
      <w:r>
        <w:rPr/>
        <w:t>2.18.</w:t>
        <w:tab/>
        <w:t>Внесение исправлений в документ о приемке, оформленный в соответствии с настоящим разделом Контракта, осуществляется путем формирования, подписания усиленными электронными подписями лиц, имеющих право действовать от имени Исполнителя, Заказчика, и размещения в ЕИС исправленного документа о приемке.</w:t>
      </w:r>
    </w:p>
    <w:p>
      <w:pPr>
        <w:pStyle w:val="Normal"/>
        <w:widowControl w:val="false"/>
        <w:ind w:firstLine="709"/>
        <w:jc w:val="both"/>
        <w:rPr/>
      </w:pPr>
      <w:r>
        <w:rPr/>
        <w:t xml:space="preserve">2.19. Оплата услуг производится из федерального бюджета, лимитов бюджетных обязательств </w:t>
        <w:br/>
        <w:t>2025 г.</w:t>
      </w:r>
    </w:p>
    <w:p>
      <w:pPr>
        <w:pStyle w:val="Normal"/>
        <w:jc w:val="both"/>
        <w:rPr>
          <w:b/>
          <w:b/>
          <w:bCs/>
        </w:rPr>
      </w:pPr>
      <w:r>
        <w:rPr>
          <w:b/>
          <w:bCs/>
        </w:rPr>
      </w:r>
    </w:p>
    <w:p>
      <w:pPr>
        <w:pStyle w:val="Style21"/>
        <w:jc w:val="center"/>
        <w:rPr>
          <w:b/>
          <w:b/>
          <w:bCs/>
          <w:spacing w:val="3"/>
          <w:sz w:val="20"/>
          <w:szCs w:val="20"/>
        </w:rPr>
      </w:pPr>
      <w:r>
        <w:rPr>
          <w:b/>
          <w:bCs/>
          <w:sz w:val="20"/>
          <w:szCs w:val="20"/>
        </w:rPr>
        <w:t>3</w:t>
      </w:r>
      <w:r>
        <w:rPr>
          <w:b/>
          <w:bCs/>
          <w:spacing w:val="3"/>
          <w:sz w:val="20"/>
          <w:szCs w:val="20"/>
        </w:rPr>
        <w:t>. Права и обязанности Исполнителя</w:t>
      </w:r>
    </w:p>
    <w:p>
      <w:pPr>
        <w:pStyle w:val="Style21"/>
        <w:spacing w:before="0" w:after="0"/>
        <w:ind w:left="0" w:firstLine="709"/>
        <w:rPr>
          <w:bCs/>
          <w:spacing w:val="3"/>
          <w:sz w:val="20"/>
          <w:szCs w:val="20"/>
        </w:rPr>
      </w:pPr>
      <w:r>
        <w:rPr>
          <w:bCs/>
          <w:spacing w:val="3"/>
          <w:sz w:val="20"/>
          <w:szCs w:val="20"/>
        </w:rPr>
        <w:t>3.1. «Исполнитель» обязан:</w:t>
      </w:r>
    </w:p>
    <w:p>
      <w:pPr>
        <w:pStyle w:val="Style21"/>
        <w:spacing w:before="0" w:after="0"/>
        <w:ind w:left="0" w:firstLine="709"/>
        <w:rPr>
          <w:bCs/>
          <w:spacing w:val="3"/>
          <w:sz w:val="20"/>
          <w:szCs w:val="20"/>
        </w:rPr>
      </w:pPr>
      <w:r>
        <w:rPr>
          <w:bCs/>
          <w:spacing w:val="3"/>
          <w:sz w:val="20"/>
          <w:szCs w:val="20"/>
        </w:rPr>
        <w:t>3.1.1. Организовать и обеспечить охрану имущества «Заказчика» указанного в Перечне охраняемых объектов (Приложение № 1).</w:t>
      </w:r>
    </w:p>
    <w:p>
      <w:pPr>
        <w:pStyle w:val="Style21"/>
        <w:spacing w:before="0" w:after="0"/>
        <w:ind w:left="0" w:firstLine="709"/>
        <w:contextualSpacing/>
        <w:rPr>
          <w:bCs/>
          <w:spacing w:val="3"/>
          <w:sz w:val="20"/>
          <w:szCs w:val="20"/>
        </w:rPr>
      </w:pPr>
      <w:r>
        <w:rPr>
          <w:bCs/>
          <w:spacing w:val="3"/>
          <w:sz w:val="20"/>
          <w:szCs w:val="20"/>
        </w:rPr>
        <w:t>3.1.2. Обеспечить контрольно- пропускной режим на объектах «Заказчика».</w:t>
      </w:r>
    </w:p>
    <w:p>
      <w:pPr>
        <w:pStyle w:val="Style21"/>
        <w:spacing w:before="0" w:after="0"/>
        <w:ind w:left="0" w:firstLine="709"/>
        <w:contextualSpacing/>
        <w:rPr>
          <w:bCs/>
          <w:spacing w:val="3"/>
          <w:sz w:val="20"/>
          <w:szCs w:val="20"/>
        </w:rPr>
      </w:pPr>
      <w:r>
        <w:rPr>
          <w:bCs/>
          <w:spacing w:val="3"/>
          <w:sz w:val="20"/>
          <w:szCs w:val="20"/>
        </w:rPr>
        <w:t xml:space="preserve"> </w:t>
      </w:r>
      <w:r>
        <w:rPr>
          <w:bCs/>
          <w:spacing w:val="3"/>
          <w:sz w:val="20"/>
          <w:szCs w:val="20"/>
        </w:rPr>
        <w:t>3.1.3. В случае обнаружения на охраняемом объекте пожара, аварии, взрыва или при  возникновении иных чрезвычайных ситуаций сообщить о случившемся в специальные службы «101», «102», «103», «104» и т.п., а также руководству «Заказчика».</w:t>
      </w:r>
    </w:p>
    <w:p>
      <w:pPr>
        <w:pStyle w:val="Style21"/>
        <w:spacing w:before="0" w:after="0"/>
        <w:ind w:left="0" w:firstLine="709"/>
        <w:contextualSpacing/>
        <w:rPr>
          <w:bCs/>
          <w:spacing w:val="3"/>
          <w:sz w:val="20"/>
          <w:szCs w:val="20"/>
        </w:rPr>
      </w:pPr>
      <w:r>
        <w:rPr>
          <w:bCs/>
          <w:spacing w:val="3"/>
          <w:sz w:val="20"/>
          <w:szCs w:val="20"/>
        </w:rPr>
        <w:t>3.1.4. При установлении фактов нарушения целостности охраняемых помещений, повреждений дверей, замков или наличия признаков проникновения на объект посторонних лиц немедленно вызвать «Заказчика» или его официального представителя, сообщить в территориальный орган внутренних дел и обеспечить неприкосновенность места происшествия. Осуществлять охрану объекта до прибытия «Заказчика» или оперативно-следственной группы.</w:t>
      </w:r>
    </w:p>
    <w:p>
      <w:pPr>
        <w:pStyle w:val="Style21"/>
        <w:spacing w:before="0" w:after="0"/>
        <w:ind w:left="0" w:firstLine="709"/>
        <w:contextualSpacing/>
        <w:rPr>
          <w:bCs/>
          <w:spacing w:val="3"/>
          <w:sz w:val="20"/>
          <w:szCs w:val="20"/>
        </w:rPr>
      </w:pPr>
      <w:r>
        <w:rPr>
          <w:bCs/>
          <w:spacing w:val="3"/>
          <w:sz w:val="20"/>
          <w:szCs w:val="20"/>
        </w:rPr>
        <w:t xml:space="preserve">3.1.5. </w:t>
      </w:r>
      <w:r>
        <w:rPr>
          <w:sz w:val="20"/>
          <w:szCs w:val="20"/>
        </w:rPr>
        <w:t>При изменении реквизитов, адресов, контактной информации либо банковских реквизитов письменно информировать об этом «Заказчика» в срок не позднее 5 рабочих дней с момента изменения.</w:t>
      </w:r>
    </w:p>
    <w:p>
      <w:pPr>
        <w:pStyle w:val="BodyTextIndent2"/>
        <w:spacing w:lineRule="auto" w:line="240" w:before="0" w:after="0"/>
        <w:ind w:left="0" w:firstLine="709"/>
        <w:contextualSpacing/>
        <w:jc w:val="both"/>
        <w:rPr/>
      </w:pPr>
      <w:r>
        <w:rPr/>
        <w:t>3.1.6. При поступлении от “Заказчика” письменного сообщения о дате и времени проведения сверки остатков товарно-материальных ценностей направить на объект уполномоченного представителя  для определения размера ущерба.</w:t>
      </w:r>
    </w:p>
    <w:p>
      <w:pPr>
        <w:pStyle w:val="Style21"/>
        <w:spacing w:before="0" w:after="0"/>
        <w:ind w:left="0" w:firstLine="709"/>
        <w:contextualSpacing/>
        <w:rPr>
          <w:bCs/>
          <w:spacing w:val="3"/>
          <w:sz w:val="20"/>
          <w:szCs w:val="20"/>
        </w:rPr>
      </w:pPr>
      <w:r>
        <w:rPr>
          <w:bCs/>
          <w:spacing w:val="3"/>
          <w:sz w:val="20"/>
          <w:szCs w:val="20"/>
        </w:rPr>
        <w:t>3.2. «Исполнитель» вправе:</w:t>
      </w:r>
    </w:p>
    <w:p>
      <w:pPr>
        <w:pStyle w:val="Style21"/>
        <w:spacing w:before="0" w:after="0"/>
        <w:ind w:left="0" w:firstLine="709"/>
        <w:contextualSpacing/>
        <w:rPr>
          <w:b/>
          <w:b/>
          <w:bCs/>
          <w:spacing w:val="3"/>
          <w:sz w:val="20"/>
          <w:szCs w:val="20"/>
        </w:rPr>
      </w:pPr>
      <w:r>
        <w:rPr>
          <w:bCs/>
          <w:spacing w:val="3"/>
          <w:sz w:val="20"/>
          <w:szCs w:val="20"/>
        </w:rPr>
        <w:t>3.2.1. И</w:t>
      </w:r>
      <w:r>
        <w:rPr>
          <w:spacing w:val="-4"/>
          <w:sz w:val="20"/>
          <w:szCs w:val="20"/>
        </w:rPr>
        <w:t>спользовать полученные от «Заказчика» данные в течение срока действия Государственного контракта, а именно: обрабатывать, размещать в базе данных «Исполнителя», дополнять, блокировать, уничтожать. Использование данных осуществляется только в целях исполнения настоящего Государственного контракта.</w:t>
      </w:r>
    </w:p>
    <w:p>
      <w:pPr>
        <w:pStyle w:val="Normal"/>
        <w:shd w:val="clear" w:color="auto" w:fill="FFFFFF"/>
        <w:spacing w:before="0" w:after="0"/>
        <w:ind w:firstLine="709"/>
        <w:contextualSpacing/>
        <w:jc w:val="both"/>
        <w:rPr/>
      </w:pPr>
      <w:r>
        <w:rPr/>
      </w:r>
    </w:p>
    <w:p>
      <w:pPr>
        <w:pStyle w:val="Normal"/>
        <w:shd w:val="clear" w:color="auto" w:fill="FFFFFF"/>
        <w:spacing w:before="0" w:after="0"/>
        <w:contextualSpacing/>
        <w:jc w:val="center"/>
        <w:rPr/>
      </w:pPr>
      <w:r>
        <w:rPr>
          <w:b/>
          <w:bCs/>
          <w:spacing w:val="3"/>
        </w:rPr>
        <w:t>4. Права и обязанности Заказчика</w:t>
      </w:r>
    </w:p>
    <w:p>
      <w:pPr>
        <w:pStyle w:val="Normal"/>
        <w:shd w:val="clear" w:color="auto" w:fill="FFFFFF"/>
        <w:spacing w:before="0" w:after="0"/>
        <w:ind w:firstLine="567"/>
        <w:contextualSpacing/>
        <w:jc w:val="both"/>
        <w:rPr/>
      </w:pPr>
      <w:r>
        <w:rPr/>
        <w:t>4.1. «Заказчик» обязан:</w:t>
      </w:r>
    </w:p>
    <w:p>
      <w:pPr>
        <w:pStyle w:val="Normal"/>
        <w:shd w:val="clear" w:color="auto" w:fill="FFFFFF"/>
        <w:spacing w:before="0" w:after="0"/>
        <w:ind w:firstLine="567"/>
        <w:contextualSpacing/>
        <w:jc w:val="both"/>
        <w:rPr/>
      </w:pPr>
      <w:r>
        <w:rPr/>
        <w:t>4.1.1. Осуществлять определенные Государственным контрактом и актами обследования мероприятия по инженерно-технической укрепленности объектов, оборудованию их техническими средствами охраны, устранять выявленные недостатки, создавать надлежащие условия для сохранности материальных ценностей, обеспечивать соблюдение установленных правил пожарной безопасности и содействовать «Исполнителю» при исполнении им своих задач.</w:t>
      </w:r>
    </w:p>
    <w:p>
      <w:pPr>
        <w:pStyle w:val="Normal"/>
        <w:shd w:val="clear" w:color="auto" w:fill="FFFFFF"/>
        <w:spacing w:before="0" w:after="0"/>
        <w:ind w:firstLine="567"/>
        <w:contextualSpacing/>
        <w:jc w:val="both"/>
        <w:rPr/>
      </w:pPr>
      <w:r>
        <w:rPr/>
        <w:t xml:space="preserve">4.1.2. Перед сдачей объекта под охрану проверить, чтобы в охраняемом помещении в нерабочее время не оставались посторонние лица, работники, а также включенные электроприборы и другие источники повышенной пожарной опасности. </w:t>
      </w:r>
    </w:p>
    <w:p>
      <w:pPr>
        <w:pStyle w:val="Normal"/>
        <w:shd w:val="clear" w:color="auto" w:fill="FFFFFF"/>
        <w:spacing w:before="0" w:after="0"/>
        <w:ind w:firstLine="567"/>
        <w:contextualSpacing/>
        <w:jc w:val="both"/>
        <w:rPr/>
      </w:pPr>
      <w:r>
        <w:rPr/>
        <w:t>4.1.3.Закрывать окна, форточки, вентиляционные люки, двери и другие блокируемые сигнализацией места на запорные устройства (замки) и пломбировать (опечатывать), наружные двери служебных помещений. Пломбировать (опечатывать) при наличии тамбура внутренние двери. Запирать на навесные замки помимо внутренних запоров и пломбировать (опечатывать) двери запасных входов.</w:t>
      </w:r>
    </w:p>
    <w:p>
      <w:pPr>
        <w:pStyle w:val="Normal"/>
        <w:shd w:val="clear" w:color="auto" w:fill="FFFFFF"/>
        <w:spacing w:before="0" w:after="0"/>
        <w:ind w:firstLine="567"/>
        <w:contextualSpacing/>
        <w:jc w:val="both"/>
        <w:rPr/>
      </w:pPr>
      <w:r>
        <w:rPr/>
        <w:t>4.1.4. Обеспечить работоспособность средств связи и коммуникаций, установленных на охраняемом объекте, и их доступность для работников «Исполнителя». Своевременно производить их ремонт.</w:t>
      </w:r>
    </w:p>
    <w:p>
      <w:pPr>
        <w:pStyle w:val="Normal"/>
        <w:shd w:val="clear" w:color="auto" w:fill="FFFFFF"/>
        <w:spacing w:before="0" w:after="0"/>
        <w:ind w:firstLine="567"/>
        <w:contextualSpacing/>
        <w:jc w:val="both"/>
        <w:rPr/>
      </w:pPr>
      <w:r>
        <w:rPr/>
        <w:t>4.1.5. Иметь исправную охранную сигнализацию. А случае её неисправности уведомлять об этом «Исполнителя».</w:t>
      </w:r>
    </w:p>
    <w:p>
      <w:pPr>
        <w:pStyle w:val="Normal"/>
        <w:shd w:val="clear" w:color="auto" w:fill="FFFFFF"/>
        <w:spacing w:before="0" w:after="0"/>
        <w:ind w:firstLine="567"/>
        <w:contextualSpacing/>
        <w:jc w:val="both"/>
        <w:rPr/>
      </w:pPr>
      <w:r>
        <w:rPr/>
        <w:t>4.1.6. Сообщать в срок за 10 дней о проведении капитального ремонта помещений и переоборудования объектов, об изменении на них режима, профиля работ, появлении новых или изменении прежних мест хранения ценностей, а также о проведении мероприятий, вследствие которых может потребоваться изменение характера охраны, дислокации постов или дополнительное оборудование средствами охранной сигнализации.</w:t>
      </w:r>
    </w:p>
    <w:p>
      <w:pPr>
        <w:pStyle w:val="Normal"/>
        <w:tabs>
          <w:tab w:val="clear" w:pos="708"/>
          <w:tab w:val="left" w:pos="540" w:leader="none"/>
        </w:tabs>
        <w:spacing w:before="0" w:after="0"/>
        <w:ind w:firstLine="567"/>
        <w:contextualSpacing/>
        <w:jc w:val="both"/>
        <w:rPr/>
      </w:pPr>
      <w:r>
        <w:rPr/>
        <w:t xml:space="preserve">    </w:t>
      </w:r>
      <w:r>
        <w:rPr/>
        <w:t>4.1.7. Для размещения поста(ов) охраны предоставлять «Исполнителю» бесплатно служебные помещения, оборудование, инвентарь, средства связи в пригодном для использования состоянии, коммунальные услуги (в т.ч. теплоснабжение, водоснабжение, энергоснабжение). Своевременно производить ремонт этих помещений, указанного имущества  и средств связи, а также обновлять мебель.</w:t>
      </w:r>
    </w:p>
    <w:p>
      <w:pPr>
        <w:pStyle w:val="Normal"/>
        <w:shd w:val="clear" w:color="auto" w:fill="FFFFFF"/>
        <w:spacing w:before="0" w:after="0"/>
        <w:ind w:firstLine="567"/>
        <w:contextualSpacing/>
        <w:jc w:val="both"/>
        <w:rPr/>
      </w:pPr>
      <w:r>
        <w:rPr/>
        <w:t>«Заказчик» обеспечивает работникам «Исполнителя» на Объекте(ах) условия выполнения ими своих обязанностей, отвечающие интересам сохранения их жизни и здоровья в части предусмотренных законодательством Российской Федерации требований охраны труда и стандартов безопасности труда, связанных со спецификой Объекта(ов), при которых воздействие на них вредных и (или) опасных производственных факторов исключено либо уровни их воздействия не превышают установленных нормативов, включая проведение необходимых организационно-технических, санитарно-гигиенических и иных мероприятий для исключения либо минимизации  производственных рисков (создание данных условий подтверждается соответствующими документами, представляемыми «Заказчиком» по требованию «Исполнителя».</w:t>
      </w:r>
    </w:p>
    <w:p>
      <w:pPr>
        <w:pStyle w:val="Normal"/>
        <w:shd w:val="clear" w:color="auto" w:fill="FFFFFF"/>
        <w:spacing w:before="0" w:after="0"/>
        <w:ind w:firstLine="567"/>
        <w:contextualSpacing/>
        <w:jc w:val="both"/>
        <w:rPr/>
      </w:pPr>
      <w:r>
        <w:rPr/>
        <w:t>4.1.8. Незамедлительно ставить в известность «Исполнителя» обо всех недостатках и случаях нарушений службы работниками «Исполнителя» для принятия необходимых мер.</w:t>
      </w:r>
    </w:p>
    <w:p>
      <w:pPr>
        <w:pStyle w:val="Normal"/>
        <w:shd w:val="clear" w:color="auto" w:fill="FFFFFF"/>
        <w:spacing w:before="0" w:after="0"/>
        <w:ind w:firstLine="567"/>
        <w:contextualSpacing/>
        <w:jc w:val="both"/>
        <w:rPr/>
      </w:pPr>
      <w:r>
        <w:rPr/>
        <w:t>4.1.9. Предоставить «Исполнителю» список лиц, имеющих право  на подписание Акта сдачи-приемки оказанных услуг (Приложение № 2).</w:t>
      </w:r>
    </w:p>
    <w:p>
      <w:pPr>
        <w:pStyle w:val="Normal"/>
        <w:shd w:val="clear" w:color="auto" w:fill="FFFFFF"/>
        <w:spacing w:before="0" w:after="0"/>
        <w:ind w:firstLine="567"/>
        <w:contextualSpacing/>
        <w:jc w:val="both"/>
        <w:rPr/>
      </w:pPr>
      <w:r>
        <w:rPr/>
        <w:t>4.1.10. Предоставлять «Исполнителю» копии учредительных документов для заключения Государственного контракта, а также сообщать обо всех изменениях в учредительных документах, в управленческом составе, в банковских реквизитах и об изменении адреса. При отсутствии такого сообщения все документы направляются по последним известным реквизитам и считаются доставленными, даже если адресат их не получит.</w:t>
      </w:r>
    </w:p>
    <w:p>
      <w:pPr>
        <w:pStyle w:val="BodyTextIndent2"/>
        <w:spacing w:lineRule="auto" w:line="240" w:before="0" w:after="120"/>
        <w:ind w:left="0" w:firstLine="567"/>
        <w:contextualSpacing/>
        <w:jc w:val="both"/>
        <w:rPr/>
      </w:pPr>
      <w:r>
        <w:rPr/>
        <w:t>4.1.11. В случае кражи сообщать письменно “Исполнителю” о снятии остатков материальных ценностей, а также о возвращении “Заказчику” похищенных материальных ценностей.</w:t>
      </w:r>
    </w:p>
    <w:p>
      <w:pPr>
        <w:pStyle w:val="BodyTextIndent2"/>
        <w:spacing w:lineRule="auto" w:line="240" w:before="0" w:after="120"/>
        <w:ind w:left="0" w:firstLine="567"/>
        <w:contextualSpacing/>
        <w:jc w:val="both"/>
        <w:rPr/>
      </w:pPr>
      <w:r>
        <w:rPr/>
        <w:t>4.1.12. Не допускать снятие остатков материальных ценностей без представителей “Исполнителя”.</w:t>
      </w:r>
    </w:p>
    <w:p>
      <w:pPr>
        <w:pStyle w:val="BodyTextIndent2"/>
        <w:spacing w:lineRule="auto" w:line="240" w:before="0" w:after="120"/>
        <w:ind w:left="0" w:firstLine="567"/>
        <w:contextualSpacing/>
        <w:jc w:val="both"/>
        <w:rPr/>
      </w:pPr>
      <w:r>
        <w:rPr/>
        <w:t>4.1.13. Своевременно производить оплату за оказанные услуги в соответствии с разделом 5 настоящего Государственного контракта.</w:t>
      </w:r>
    </w:p>
    <w:p>
      <w:pPr>
        <w:pStyle w:val="BodyTextIndent2"/>
        <w:spacing w:lineRule="auto" w:line="240" w:before="0" w:after="120"/>
        <w:ind w:left="0" w:firstLine="567"/>
        <w:contextualSpacing/>
        <w:jc w:val="both"/>
        <w:rPr/>
      </w:pPr>
      <w:r>
        <w:rPr/>
        <w:t>4.1.14.  Не разглашать посторонним лицам принципы сигнализации и системы охраны.</w:t>
      </w:r>
    </w:p>
    <w:p>
      <w:pPr>
        <w:pStyle w:val="BodyTextIndent2"/>
        <w:spacing w:lineRule="auto" w:line="240" w:before="0" w:after="120"/>
        <w:ind w:left="0" w:firstLine="567"/>
        <w:contextualSpacing/>
        <w:jc w:val="both"/>
        <w:rPr/>
      </w:pPr>
      <w:r>
        <w:rPr/>
        <w:t>4.1.15. Согласно действующему законодательству об основах охраны труда в Российской Федерации, «Заказчик» обеспечивает условия и охрану труда работников охраны.</w:t>
      </w:r>
    </w:p>
    <w:p>
      <w:pPr>
        <w:pStyle w:val="BodyTextIndent2"/>
        <w:spacing w:lineRule="auto" w:line="240" w:before="0" w:after="120"/>
        <w:ind w:left="0" w:firstLine="567"/>
        <w:contextualSpacing/>
        <w:jc w:val="both"/>
        <w:rPr/>
      </w:pPr>
      <w:r>
        <w:rPr/>
        <w:t>4.1.16. В случае возникновение спора о праве собственности и (или) управления имуществом, находящимся во владении «Заказчика» и являющимся объектом охраны, немедленно информировать об этом «Исполнителя» в письменном виде.</w:t>
      </w:r>
    </w:p>
    <w:p>
      <w:pPr>
        <w:pStyle w:val="Normal"/>
        <w:shd w:val="clear" w:color="auto" w:fill="FFFFFF"/>
        <w:spacing w:before="0" w:after="0"/>
        <w:ind w:firstLine="567"/>
        <w:contextualSpacing/>
        <w:jc w:val="both"/>
        <w:rPr/>
      </w:pPr>
      <w:r>
        <w:rPr/>
        <w:t>4.1.17. Принять оказываемые услуги, на соответствие их объема и качества, в порядке и сроки установленные настоящим Государственным контрактом и действующим законодательством РФ, с оформлением акта оказанных услуг.</w:t>
      </w:r>
    </w:p>
    <w:p>
      <w:pPr>
        <w:pStyle w:val="Normal"/>
        <w:ind w:firstLine="567"/>
        <w:jc w:val="both"/>
        <w:rPr>
          <w:b/>
          <w:b/>
          <w:bCs/>
        </w:rPr>
      </w:pPr>
      <w:r>
        <w:rPr>
          <w:b/>
          <w:bCs/>
        </w:rPr>
      </w:r>
    </w:p>
    <w:p>
      <w:pPr>
        <w:pStyle w:val="Normal"/>
        <w:numPr>
          <w:ilvl w:val="0"/>
          <w:numId w:val="3"/>
        </w:numPr>
        <w:tabs>
          <w:tab w:val="clear" w:pos="708"/>
          <w:tab w:val="left" w:pos="1440" w:leader="none"/>
        </w:tabs>
        <w:jc w:val="both"/>
        <w:rPr>
          <w:b/>
          <w:b/>
          <w:bCs/>
        </w:rPr>
      </w:pPr>
      <w:r>
        <w:rPr>
          <w:b/>
          <w:bCs/>
        </w:rPr>
        <w:t>ОТВЕТСТВЕННОСТЬ СТОРОН</w:t>
      </w:r>
    </w:p>
    <w:p>
      <w:pPr>
        <w:pStyle w:val="Normal"/>
        <w:tabs>
          <w:tab w:val="clear" w:pos="708"/>
          <w:tab w:val="left" w:pos="0" w:leader="none"/>
        </w:tabs>
        <w:jc w:val="both"/>
        <w:rPr>
          <w:highlight w:val="red"/>
        </w:rPr>
      </w:pPr>
      <w:r>
        <w:rPr>
          <w:highlight w:val="red"/>
        </w:rPr>
      </w:r>
    </w:p>
    <w:p>
      <w:pPr>
        <w:pStyle w:val="Normal"/>
        <w:ind w:firstLine="709"/>
        <w:jc w:val="both"/>
        <w:rPr/>
      </w:pPr>
      <w:r>
        <w:rPr/>
        <w:t>5.1. За неисполнение или ненадлежащее исполнение обязательств, предусмотренных Контрактом Стороны несут ответственность в соответствии с законодательством Российской Федерации.</w:t>
      </w:r>
    </w:p>
    <w:p>
      <w:pPr>
        <w:pStyle w:val="Normal"/>
        <w:ind w:firstLine="709"/>
        <w:jc w:val="both"/>
        <w:rPr>
          <w:lang w:eastAsia="ar-SA"/>
        </w:rPr>
      </w:pPr>
      <w:r>
        <w:rPr>
          <w:lang w:eastAsia="ar-SA"/>
        </w:rPr>
        <w:t xml:space="preserve">5.2. Размер штрафа устанавливается Контрактом в порядке, установленном </w:t>
      </w:r>
      <w:r>
        <w:fldChar w:fldCharType="begin"/>
      </w:r>
      <w:r>
        <w:rPr>
          <w:lang w:eastAsia="ar-SA"/>
        </w:rPr>
        <w:instrText xml:space="preserve"> HYPERLINK "http://1gzakaz.ru/" \l "/document/99/436762684/XA00LVA2M9/"</w:instrText>
      </w:r>
      <w:r>
        <w:rPr>
          <w:lang w:eastAsia="ar-SA"/>
        </w:rPr>
        <w:fldChar w:fldCharType="separate"/>
      </w:r>
      <w:r>
        <w:rPr>
          <w:lang w:eastAsia="ar-SA"/>
        </w:rPr>
        <w:t>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обязательств, предусмотренных Контрактом (за исключением просрочки исполнения обязательств Заказчиком, Поставщиком), и размера пени, начисляемой за каждый день просрочки исполнения Поставщиком обязательства, предусмотренного Контрактом</w:t>
      </w:r>
      <w:r>
        <w:rPr>
          <w:lang w:eastAsia="ar-SA"/>
        </w:rPr>
        <w:fldChar w:fldCharType="end"/>
      </w:r>
      <w:r>
        <w:rPr>
          <w:lang w:eastAsia="ar-SA"/>
        </w:rPr>
        <w:t>.</w:t>
      </w:r>
      <w:r>
        <w:rPr/>
        <w:t xml:space="preserve"> Пеня начисляется за каждый день просрочки исполнения Поставщиком обязательства, предусмотренного Контрактом, начиная со дня, следующего после дня истечения установленного Контрактом срока исполнения обязательства,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Поставщиком, за исключением случаев, если законодательством Российской Федерации установлен иной порядок начисления пени.</w:t>
      </w:r>
    </w:p>
    <w:p>
      <w:pPr>
        <w:pStyle w:val="Normal"/>
        <w:ind w:firstLine="709"/>
        <w:jc w:val="both"/>
        <w:rPr/>
      </w:pPr>
      <w:r>
        <w:rPr/>
        <w:t xml:space="preserve">5.3. Размер штрафа устанавливается Контрактом в соответствии с </w:t>
      </w:r>
      <w:hyperlink w:anchor="P55">
        <w:r>
          <w:rPr/>
          <w:t>пунктами 3</w:t>
        </w:r>
      </w:hyperlink>
      <w:r>
        <w:rPr/>
        <w:t xml:space="preserve"> - </w:t>
      </w:r>
      <w:hyperlink w:anchor="P89">
        <w:r>
          <w:rPr/>
          <w:t>9</w:t>
        </w:r>
      </w:hyperlink>
      <w:r>
        <w:rPr/>
        <w:t xml:space="preserve"> </w:t>
      </w:r>
      <w:r>
        <w:rPr>
          <w:lang w:eastAsia="ar-SA"/>
        </w:rPr>
        <w:t>Правила определения размера штрафа</w:t>
      </w:r>
      <w:r>
        <w:rPr/>
        <w:t xml:space="preserve">, за исключением случая, предусмотренного </w:t>
      </w:r>
      <w:hyperlink w:anchor="P100">
        <w:r>
          <w:rPr/>
          <w:t>пунктом 13</w:t>
        </w:r>
      </w:hyperlink>
      <w:r>
        <w:rPr/>
        <w:t xml:space="preserve"> </w:t>
      </w:r>
      <w:r>
        <w:rPr>
          <w:lang w:eastAsia="ar-SA"/>
        </w:rPr>
        <w:t>Правила определения размера штрафа</w:t>
      </w:r>
      <w:r>
        <w:rPr/>
        <w:t>, в том числе рассчитывается как процент цены Контракта, или в случае, если Контрактом предусмотрены этапы исполнения Контракта, как процент этапа исполнения Контракта (далее - цена Контракта (этапа)).</w:t>
      </w:r>
    </w:p>
    <w:p>
      <w:pPr>
        <w:pStyle w:val="ConsPlusNormal1"/>
        <w:ind w:firstLine="709"/>
        <w:jc w:val="both"/>
        <w:rPr>
          <w:rFonts w:ascii="Times New Roman" w:hAnsi="Times New Roman" w:cs="Times New Roman"/>
        </w:rPr>
      </w:pPr>
      <w:bookmarkStart w:id="0" w:name="P55"/>
      <w:bookmarkEnd w:id="0"/>
      <w:r>
        <w:rPr>
          <w:rFonts w:cs="Times New Roman" w:ascii="Times New Roman" w:hAnsi="Times New Roman"/>
        </w:rPr>
        <w:t xml:space="preserve">5.4. За каждый факт неисполнения или ненадлежащего исполнения Поставщиком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w:t>
      </w:r>
      <w:hyperlink w:anchor="P66">
        <w:r>
          <w:rPr>
            <w:rFonts w:cs="Times New Roman" w:ascii="Times New Roman" w:hAnsi="Times New Roman"/>
          </w:rPr>
          <w:t>пунктами 4</w:t>
        </w:r>
      </w:hyperlink>
      <w:r>
        <w:rPr>
          <w:rFonts w:cs="Times New Roman" w:ascii="Times New Roman" w:hAnsi="Times New Roman"/>
        </w:rPr>
        <w:t xml:space="preserve"> - </w:t>
      </w:r>
      <w:hyperlink w:anchor="P88">
        <w:r>
          <w:rPr>
            <w:rFonts w:cs="Times New Roman" w:ascii="Times New Roman" w:hAnsi="Times New Roman"/>
          </w:rPr>
          <w:t>8</w:t>
        </w:r>
      </w:hyperlink>
      <w:r>
        <w:rPr>
          <w:rFonts w:cs="Times New Roman" w:ascii="Times New Roman" w:hAnsi="Times New Roman"/>
        </w:rPr>
        <w:t xml:space="preserve"> </w:t>
      </w:r>
      <w:r>
        <w:rPr>
          <w:rFonts w:cs="Times New Roman" w:ascii="Times New Roman" w:hAnsi="Times New Roman"/>
          <w:lang w:eastAsia="ar-SA"/>
        </w:rPr>
        <w:t>Правила определения размера штрафа</w:t>
      </w:r>
      <w:r>
        <w:rPr>
          <w:rFonts w:cs="Times New Roman" w:ascii="Times New Roman" w:hAnsi="Times New Roman"/>
        </w:rPr>
        <w:t>):</w:t>
      </w:r>
    </w:p>
    <w:p>
      <w:pPr>
        <w:pStyle w:val="ConsPlusNormal1"/>
        <w:ind w:firstLine="709"/>
        <w:jc w:val="both"/>
        <w:rPr>
          <w:rFonts w:ascii="Times New Roman" w:hAnsi="Times New Roman" w:cs="Times New Roman"/>
        </w:rPr>
      </w:pPr>
      <w:r>
        <w:rPr>
          <w:rFonts w:cs="Times New Roman" w:ascii="Times New Roman" w:hAnsi="Times New Roman"/>
        </w:rPr>
        <w:t>а) 10 процентов цены Контракта (этапа) в случае, если цена Контракта (этапа) не превышает 3 млн. рублей;</w:t>
      </w:r>
    </w:p>
    <w:p>
      <w:pPr>
        <w:pStyle w:val="ConsPlusNormal1"/>
        <w:ind w:firstLine="709"/>
        <w:jc w:val="both"/>
        <w:rPr>
          <w:rFonts w:ascii="Times New Roman" w:hAnsi="Times New Roman" w:cs="Times New Roman"/>
        </w:rPr>
      </w:pPr>
      <w:r>
        <w:rPr>
          <w:rFonts w:cs="Times New Roman" w:ascii="Times New Roman" w:hAnsi="Times New Roman"/>
        </w:rPr>
        <w:t>б) 5 процентов цены Контракта (этапа) в случае, если цена Контракта (этапа) составляет от 3 млн. рублей до 50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в) 1 процент цены Контракта (этапа) в случае, если цена Контракта (этапа) составляет от 50 млн. рублей до 100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г) 0,5 процента цены Контракта (этапа) в случае, если цена Контракта (этапа) составляет от 100 млн. рублей до 500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д) 0,4 процента цены Контракта (этапа) в случае, если цена Контракта (этапа) составляет от 500 млн. рублей до 1 млрд.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е) 0,3 процента цены Контракта (этапа) в случае, если цена Контракта (этапа) составляет от 1 млрд. рублей до 2 млрд.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ж) 0,25 процента цены Контракта (этапа) в случае, если цена Контракта (этапа) составляет от 2 млрд. рублей до 5 млрд.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з) 0,2 процента цены Контракта (этапа) в случае, если цена Контракта (этапа) составляет от 5 млрд. рублей до 10 млрд.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и) 0,1 процента цены Контракта (этапа) в случае, если цена Контракта (этапа) превышает 10 млрд. рублей.</w:t>
      </w:r>
    </w:p>
    <w:p>
      <w:pPr>
        <w:pStyle w:val="ConsPlusNormal1"/>
        <w:ind w:firstLine="709"/>
        <w:jc w:val="both"/>
        <w:rPr>
          <w:rFonts w:ascii="Times New Roman" w:hAnsi="Times New Roman" w:cs="Times New Roman"/>
        </w:rPr>
      </w:pPr>
      <w:bookmarkStart w:id="1" w:name="P66"/>
      <w:bookmarkEnd w:id="1"/>
      <w:r>
        <w:rPr>
          <w:rFonts w:cs="Times New Roman" w:ascii="Times New Roman" w:hAnsi="Times New Roman"/>
        </w:rPr>
        <w:t xml:space="preserve">5.5. За каждый факт неисполнения или ненадлежащего исполнения Поставщиком обязательств, предусмотренных Контрактом, заключенным по результатам определения поставщика (подрядчика, исполнителя) в соответствии с </w:t>
      </w:r>
      <w:hyperlink r:id="rId2">
        <w:r>
          <w:rPr>
            <w:rFonts w:cs="Times New Roman" w:ascii="Times New Roman" w:hAnsi="Times New Roman"/>
          </w:rPr>
          <w:t>пунктом 1 части 1 статьи 30</w:t>
        </w:r>
      </w:hyperlink>
      <w:r>
        <w:rPr>
          <w:rFonts w:cs="Times New Roman" w:ascii="Times New Roman" w:hAnsi="Times New Roman"/>
        </w:rPr>
        <w:t xml:space="preserve"> Федерального закона "О контрактной системе в сфере закупок товаров, работ, услуг для обеспечения государственных и муниципальных нужд" (далее - Федеральный закон),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размере 1 процента цены Контракта (этапа), но не более 5 тыс. рублей и не менее 1 тыс. рублей.</w:t>
      </w:r>
    </w:p>
    <w:p>
      <w:pPr>
        <w:pStyle w:val="ConsPlusNormal1"/>
        <w:ind w:firstLine="709"/>
        <w:jc w:val="both"/>
        <w:rPr>
          <w:rFonts w:ascii="Times New Roman" w:hAnsi="Times New Roman" w:cs="Times New Roman"/>
        </w:rPr>
      </w:pPr>
      <w:r>
        <w:rPr>
          <w:rFonts w:cs="Times New Roman" w:ascii="Times New Roman" w:hAnsi="Times New Roman"/>
        </w:rPr>
        <w:t xml:space="preserve">5.6. За каждый факт неисполнения или ненадлежащего исполнения Поставщиком обязательств, предусмотренных Контрактом, заключенным с победителем закупки (или с иным участником закупки в случаях, установленных Федеральным </w:t>
      </w:r>
      <w:hyperlink r:id="rId3">
        <w:r>
          <w:rPr>
            <w:rFonts w:cs="Times New Roman" w:ascii="Times New Roman" w:hAnsi="Times New Roman"/>
          </w:rPr>
          <w:t>законом</w:t>
        </w:r>
      </w:hyperlink>
      <w:r>
        <w:rPr>
          <w:rFonts w:cs="Times New Roman" w:ascii="Times New Roman" w:hAnsi="Times New Roman"/>
        </w:rPr>
        <w:t xml:space="preserve">), предложившим наиболее высокую цену за право заключения Контракта, размер штрафа рассчитывается в порядке, установленном Правилами </w:t>
      </w:r>
      <w:r>
        <w:rPr>
          <w:rFonts w:cs="Times New Roman" w:ascii="Times New Roman" w:hAnsi="Times New Roman"/>
          <w:lang w:eastAsia="ar-SA"/>
        </w:rPr>
        <w:t>определения размера штрафа</w:t>
      </w:r>
      <w:r>
        <w:rPr>
          <w:rFonts w:cs="Times New Roman" w:ascii="Times New Roman" w:hAnsi="Times New Roman"/>
        </w:rPr>
        <w:t>,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pPr>
        <w:pStyle w:val="ConsPlusNormal1"/>
        <w:ind w:firstLine="709"/>
        <w:jc w:val="both"/>
        <w:rPr>
          <w:rFonts w:ascii="Times New Roman" w:hAnsi="Times New Roman" w:cs="Times New Roman"/>
        </w:rPr>
      </w:pPr>
      <w:r>
        <w:rPr>
          <w:rFonts w:cs="Times New Roman" w:ascii="Times New Roman" w:hAnsi="Times New Roman"/>
        </w:rPr>
        <w:t>а) в случае, если цена Контракта не превышает начальную (максимальную) цену Контракта:</w:t>
      </w:r>
    </w:p>
    <w:p>
      <w:pPr>
        <w:pStyle w:val="ConsPlusNormal1"/>
        <w:ind w:firstLine="709"/>
        <w:jc w:val="both"/>
        <w:rPr>
          <w:rFonts w:ascii="Times New Roman" w:hAnsi="Times New Roman" w:cs="Times New Roman"/>
        </w:rPr>
      </w:pPr>
      <w:r>
        <w:rPr>
          <w:rFonts w:cs="Times New Roman" w:ascii="Times New Roman" w:hAnsi="Times New Roman"/>
        </w:rPr>
        <w:t>10 процентов начальной (максимальной) цены Контракта, если цена Контракта не превышает 3 млн. рублей;</w:t>
      </w:r>
    </w:p>
    <w:p>
      <w:pPr>
        <w:pStyle w:val="ConsPlusNormal1"/>
        <w:ind w:firstLine="709"/>
        <w:jc w:val="both"/>
        <w:rPr>
          <w:rFonts w:ascii="Times New Roman" w:hAnsi="Times New Roman" w:cs="Times New Roman"/>
        </w:rPr>
      </w:pPr>
      <w:r>
        <w:rPr>
          <w:rFonts w:cs="Times New Roman" w:ascii="Times New Roman" w:hAnsi="Times New Roman"/>
        </w:rPr>
        <w:t>5 процентов начальной (максимальной) цены Контракта, если цена Контракта составляет от 3 млн. рублей до 50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1 процент начальной (максимальной) цены Контракта, если цена Контракта составляет от 50 млн. рублей до 100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б) в случае, если цена Контракта превышает начальную (максимальную) цену Контракта:</w:t>
      </w:r>
    </w:p>
    <w:p>
      <w:pPr>
        <w:pStyle w:val="ConsPlusNormal1"/>
        <w:ind w:firstLine="709"/>
        <w:jc w:val="both"/>
        <w:rPr>
          <w:rFonts w:ascii="Times New Roman" w:hAnsi="Times New Roman" w:cs="Times New Roman"/>
        </w:rPr>
      </w:pPr>
      <w:r>
        <w:rPr>
          <w:rFonts w:cs="Times New Roman" w:ascii="Times New Roman" w:hAnsi="Times New Roman"/>
        </w:rPr>
        <w:t>10 процентов цены Контракта, если цена Контракта не превышает 3 млн. рублей;</w:t>
      </w:r>
    </w:p>
    <w:p>
      <w:pPr>
        <w:pStyle w:val="ConsPlusNormal1"/>
        <w:ind w:firstLine="709"/>
        <w:jc w:val="both"/>
        <w:rPr>
          <w:rFonts w:ascii="Times New Roman" w:hAnsi="Times New Roman" w:cs="Times New Roman"/>
        </w:rPr>
      </w:pPr>
      <w:r>
        <w:rPr>
          <w:rFonts w:cs="Times New Roman" w:ascii="Times New Roman" w:hAnsi="Times New Roman"/>
        </w:rPr>
        <w:t>5 процентов цены Контракта, если цена Контракта составляет от 3 млн. рублей до 50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1 процент цены Контракта, если цена Контракта составляет от 50 млн. рублей до 100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5.7. За каждый факт неисполнения или ненадлежащего исполнения Поставщиком (подрядчиком,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pPr>
        <w:pStyle w:val="ConsPlusNormal1"/>
        <w:ind w:firstLine="709"/>
        <w:jc w:val="both"/>
        <w:rPr>
          <w:rFonts w:ascii="Times New Roman" w:hAnsi="Times New Roman" w:cs="Times New Roman"/>
        </w:rPr>
      </w:pPr>
      <w:r>
        <w:rPr>
          <w:rFonts w:cs="Times New Roman" w:ascii="Times New Roman" w:hAnsi="Times New Roman"/>
        </w:rPr>
        <w:t>а) 1000 рублей, если цена Контракта не превышает 3 млн. рублей;</w:t>
      </w:r>
    </w:p>
    <w:p>
      <w:pPr>
        <w:pStyle w:val="ConsPlusNormal1"/>
        <w:ind w:firstLine="709"/>
        <w:jc w:val="both"/>
        <w:rPr>
          <w:rFonts w:ascii="Times New Roman" w:hAnsi="Times New Roman" w:cs="Times New Roman"/>
        </w:rPr>
      </w:pPr>
      <w:r>
        <w:rPr>
          <w:rFonts w:cs="Times New Roman" w:ascii="Times New Roman" w:hAnsi="Times New Roman"/>
        </w:rPr>
        <w:t>б) 5000 рублей, если цена Контракта составляет от 3 млн. рублей до 50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в) 10000 рублей, если цена Контракта составляет от 50 млн. рублей до 100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г) 100000 рублей, если цена Контракта превышает 100 млн. рублей.</w:t>
      </w:r>
    </w:p>
    <w:p>
      <w:pPr>
        <w:pStyle w:val="ConsPlusNormal1"/>
        <w:ind w:firstLine="709"/>
        <w:jc w:val="both"/>
        <w:rPr>
          <w:rFonts w:ascii="Times New Roman" w:hAnsi="Times New Roman" w:cs="Times New Roman"/>
        </w:rPr>
      </w:pPr>
      <w:r>
        <w:rPr>
          <w:rFonts w:cs="Times New Roman" w:ascii="Times New Roman" w:hAnsi="Times New Roman"/>
        </w:rPr>
        <w:t>5.8. За ненадлежащее исполнение подрядчиком обязательств по выполнению видов и объемов работ по строительству, реконструкции объектов капитального строительства, которые подрядчик обязан выполнить самостоятельно без привлечения других лиц к исполнению своих обязательств по Контракту, размер штрафа устанавливается в размере 5 процентов стоимости указанных Работ.</w:t>
      </w:r>
      <w:bookmarkStart w:id="2" w:name="P88"/>
      <w:bookmarkEnd w:id="2"/>
    </w:p>
    <w:p>
      <w:pPr>
        <w:pStyle w:val="ConsPlusNormal1"/>
        <w:ind w:firstLine="709"/>
        <w:jc w:val="both"/>
        <w:rPr>
          <w:rFonts w:ascii="Times New Roman" w:hAnsi="Times New Roman" w:cs="Times New Roman"/>
        </w:rPr>
      </w:pPr>
      <w:r>
        <w:rPr>
          <w:rFonts w:cs="Times New Roman" w:ascii="Times New Roman" w:hAnsi="Times New Roman"/>
        </w:rPr>
        <w:t xml:space="preserve">5.9. В случае если в соответствии с </w:t>
      </w:r>
      <w:hyperlink r:id="rId4">
        <w:r>
          <w:rPr>
            <w:rFonts w:cs="Times New Roman" w:ascii="Times New Roman" w:hAnsi="Times New Roman"/>
          </w:rPr>
          <w:t>частью 6 статьи 30</w:t>
        </w:r>
      </w:hyperlink>
      <w:r>
        <w:rPr>
          <w:rFonts w:cs="Times New Roman" w:ascii="Times New Roman" w:hAnsi="Times New Roman"/>
        </w:rPr>
        <w:t xml:space="preserve"> Федерального закона Контрактом предусмотрено условие о гражданско-правовой ответственности Поставщиков (подрядчиков, исполнителей) за неисполнение условия о привлечении к исполнению Контракта субподрядчиков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w:t>
      </w:r>
    </w:p>
    <w:p>
      <w:pPr>
        <w:pStyle w:val="ConsPlusNormal1"/>
        <w:ind w:firstLine="709"/>
        <w:jc w:val="both"/>
        <w:rPr>
          <w:rFonts w:ascii="Times New Roman" w:hAnsi="Times New Roman" w:cs="Times New Roman"/>
        </w:rPr>
      </w:pPr>
      <w:r>
        <w:rPr>
          <w:rFonts w:cs="Times New Roman" w:ascii="Times New Roman" w:hAnsi="Times New Roman"/>
        </w:rPr>
        <w:t>5.10.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pPr>
        <w:pStyle w:val="ConsPlusNormal1"/>
        <w:ind w:firstLine="709"/>
        <w:jc w:val="both"/>
        <w:rPr>
          <w:rFonts w:ascii="Times New Roman" w:hAnsi="Times New Roman" w:cs="Times New Roman"/>
        </w:rPr>
      </w:pPr>
      <w:r>
        <w:rPr>
          <w:rFonts w:cs="Times New Roman" w:ascii="Times New Roman" w:hAnsi="Times New Roman"/>
        </w:rPr>
        <w:t>а) 1000 рублей, если цена Контракта не превышает 3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б) 5000 рублей, если цена Контракта составляет от 3 млн. рублей до 50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в) 10000 рублей, если цена Контракта составляет от 50 млн. рублей до 100 млн. рублей (включительно);</w:t>
      </w:r>
    </w:p>
    <w:p>
      <w:pPr>
        <w:pStyle w:val="ConsPlusNormal1"/>
        <w:ind w:firstLine="709"/>
        <w:jc w:val="both"/>
        <w:rPr>
          <w:rFonts w:ascii="Times New Roman" w:hAnsi="Times New Roman" w:cs="Times New Roman"/>
        </w:rPr>
      </w:pPr>
      <w:r>
        <w:rPr>
          <w:rFonts w:cs="Times New Roman" w:ascii="Times New Roman" w:hAnsi="Times New Roman"/>
        </w:rPr>
        <w:t>г) 100000 рублей, если цена Контракта превышает 100 млн. рублей.</w:t>
      </w:r>
    </w:p>
    <w:p>
      <w:pPr>
        <w:pStyle w:val="ConsPlusNormal1"/>
        <w:ind w:firstLine="709"/>
        <w:jc w:val="both"/>
        <w:rPr>
          <w:rFonts w:ascii="Times New Roman" w:hAnsi="Times New Roman" w:cs="Times New Roman"/>
        </w:rPr>
      </w:pPr>
      <w:r>
        <w:rPr>
          <w:rFonts w:cs="Times New Roman" w:ascii="Times New Roman" w:hAnsi="Times New Roman"/>
        </w:rPr>
        <w:t>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pPr>
        <w:pStyle w:val="ConsPlusNormal1"/>
        <w:ind w:firstLine="709"/>
        <w:jc w:val="both"/>
        <w:rPr>
          <w:rFonts w:ascii="Times New Roman" w:hAnsi="Times New Roman" w:cs="Times New Roman"/>
        </w:rPr>
      </w:pPr>
      <w:r>
        <w:rPr>
          <w:rFonts w:cs="Times New Roman" w:ascii="Times New Roman" w:hAnsi="Times New Roman"/>
        </w:rPr>
        <w:t>5.11. Общая сумма начисленных штрафов за неисполнение или ненадлежащее исполнение Поставщиком обязательств, предусмотренных Контрактом, не может превышать цену Контракта.</w:t>
      </w:r>
    </w:p>
    <w:p>
      <w:pPr>
        <w:pStyle w:val="ConsPlusNormal1"/>
        <w:ind w:firstLine="709"/>
        <w:jc w:val="both"/>
        <w:rPr>
          <w:rFonts w:ascii="Times New Roman" w:hAnsi="Times New Roman" w:cs="Times New Roman"/>
        </w:rPr>
      </w:pPr>
      <w:r>
        <w:rPr>
          <w:rFonts w:cs="Times New Roman" w:ascii="Times New Roman" w:hAnsi="Times New Roman"/>
        </w:rPr>
        <w:t>5.12.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pPr>
        <w:pStyle w:val="ConsPlusNormal1"/>
        <w:ind w:firstLine="709"/>
        <w:jc w:val="both"/>
        <w:rPr>
          <w:rFonts w:ascii="Times New Roman" w:hAnsi="Times New Roman" w:cs="Times New Roman"/>
        </w:rPr>
      </w:pPr>
      <w:bookmarkStart w:id="3" w:name="P100"/>
      <w:bookmarkEnd w:id="3"/>
      <w:r>
        <w:rPr>
          <w:rFonts w:cs="Times New Roman" w:ascii="Times New Roman" w:hAnsi="Times New Roman"/>
        </w:rPr>
        <w:t xml:space="preserve">5.13. В случае если законодательством Российской Федерации установлен иной порядок начисления штрафа, чем порядок, предусмотренный Правилами </w:t>
      </w:r>
      <w:r>
        <w:rPr>
          <w:rFonts w:cs="Times New Roman" w:ascii="Times New Roman" w:hAnsi="Times New Roman"/>
          <w:lang w:eastAsia="ar-SA"/>
        </w:rPr>
        <w:t>определения размера штрафа</w:t>
      </w:r>
      <w:r>
        <w:rPr>
          <w:rFonts w:cs="Times New Roman" w:ascii="Times New Roman" w:hAnsi="Times New Roman"/>
        </w:rPr>
        <w:t>,, размер такого штрафа и порядок его начисления устанавливается Контрактом в соответствии с законодательством Российской Федерации.</w:t>
      </w:r>
    </w:p>
    <w:p>
      <w:pPr>
        <w:pStyle w:val="Normal"/>
        <w:ind w:firstLine="709"/>
        <w:jc w:val="both"/>
        <w:rPr/>
      </w:pPr>
      <w:r>
        <w:rPr/>
        <w:t>5.14. Убытки, нанесенные Заказчику в связи с неисполнением или ненадлежащим исполнением Поставщиком своих обязательств по Контракту, могут быть взысканы в полной сумме сверх неустойки.</w:t>
      </w:r>
    </w:p>
    <w:p>
      <w:pPr>
        <w:pStyle w:val="Normal"/>
        <w:ind w:firstLine="709"/>
        <w:jc w:val="both"/>
        <w:rPr/>
      </w:pPr>
      <w:r>
        <w:rPr/>
        <w:t>5.15. Поставщик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Заказчика.</w:t>
      </w:r>
    </w:p>
    <w:p>
      <w:pPr>
        <w:pStyle w:val="Normal"/>
        <w:ind w:firstLine="709"/>
        <w:jc w:val="both"/>
        <w:rPr/>
      </w:pPr>
      <w:r>
        <w:rPr/>
        <w:t>5.16. Уплата Поставщиком неустойки или применение иной формы ответственности не освобождает его от исполнения обязательств по Контракту.</w:t>
      </w:r>
    </w:p>
    <w:p>
      <w:pPr>
        <w:pStyle w:val="Normal"/>
        <w:ind w:firstLine="709"/>
        <w:jc w:val="both"/>
        <w:rPr/>
      </w:pPr>
      <w:r>
        <w:rPr/>
        <w:t>5.17. Условия освобождения Сторон от ответственности:</w:t>
      </w:r>
    </w:p>
    <w:p>
      <w:pPr>
        <w:pStyle w:val="Normal"/>
        <w:ind w:firstLine="709"/>
        <w:jc w:val="both"/>
        <w:rPr/>
      </w:pPr>
      <w:r>
        <w:rPr/>
        <w:t>5.17.1. Стороны освобождаются от ответственности, за частичное или полное неисполнение обязательств по Контракту, в случае наступления обстоятельств непреодолимой силы (форс-мажор). Для целей настоящего Контракта «форс-мажор» означает событие, находящееся вне разумного контроля Стороны и приводящее к тому, что выполнение Стороной ее обязательств по Контракту становится невозможным или настолько бессмысленным, что в данных обстоятельствах считается невозможным, и включает, но не ограничивается такими явлениями, как война, волнения, общественные беспорядки, землетрясение, пожар, взрыв, буря, наводнение, конфискация или другие действия государственных органов, если они не вызваны виновными действиями Стороны, не исполнившей обязательство.</w:t>
      </w:r>
    </w:p>
    <w:p>
      <w:pPr>
        <w:pStyle w:val="Normal"/>
        <w:ind w:firstLine="709"/>
        <w:jc w:val="both"/>
        <w:rPr/>
      </w:pPr>
      <w:r>
        <w:rPr/>
        <w:t>5.17.2. Форс-мажором не являются события, вызванные небрежностью или преднамеренным действием Стороны или субподрядчиков, агентов или сотрудников Стороны, события, которые Сторона могла бы предусмотреть при должном прилежании, чтобы учесть их при заключении Контракта и предотвратить или контролировать их при исполнении обязательств по Контракту.</w:t>
      </w:r>
    </w:p>
    <w:p>
      <w:pPr>
        <w:pStyle w:val="Normal"/>
        <w:ind w:firstLine="709"/>
        <w:jc w:val="both"/>
        <w:rPr/>
      </w:pPr>
      <w:r>
        <w:rPr/>
        <w:t>5.17.3. Сторона, пострадавшая от события форс-мажора, обязана незамедлительно уведомить другую Сторону о возникновении, виде и возможности продолжительности такого события. Факт форс-мажора должен быть подтвержден соответствующими компетентными органами.</w:t>
      </w:r>
    </w:p>
    <w:p>
      <w:pPr>
        <w:pStyle w:val="Normal"/>
        <w:ind w:firstLine="709"/>
        <w:jc w:val="both"/>
        <w:rPr/>
      </w:pPr>
      <w:r>
        <w:rPr/>
        <w:t>5.17.4. Сторона, пострадавшая от события форс-мажора, должна предпринять все разумные меры, чтобы в кратчайшие сроки преодолеть невозможность выполнения своих обязательств по Контракту, а также уведомить другую Сторону о восстановлении нормальных условий.</w:t>
      </w:r>
    </w:p>
    <w:p>
      <w:pPr>
        <w:pStyle w:val="Normal"/>
        <w:ind w:firstLine="709"/>
        <w:jc w:val="both"/>
        <w:rPr/>
      </w:pPr>
      <w:r>
        <w:rPr/>
        <w:t>5.17.5. Стороны должны принять все разумные меры для сведения к минимуму последствий любого события форс-мажора.</w:t>
      </w:r>
    </w:p>
    <w:p>
      <w:pPr>
        <w:pStyle w:val="Normal"/>
        <w:spacing w:before="240" w:after="120"/>
        <w:jc w:val="center"/>
        <w:rPr>
          <w:b/>
          <w:b/>
        </w:rPr>
      </w:pPr>
      <w:r>
        <w:rPr>
          <w:b/>
        </w:rPr>
        <w:t>6. ОБЕСПЕЧЕНИЕ ИСПОЛНЕНИЯ КОНТРАКТА</w:t>
      </w:r>
    </w:p>
    <w:p>
      <w:pPr>
        <w:pStyle w:val="Normal"/>
        <w:ind w:firstLine="709"/>
        <w:jc w:val="both"/>
        <w:rPr>
          <w:color w:val="000000"/>
        </w:rPr>
      </w:pPr>
      <w:r>
        <w:rPr/>
        <w:t xml:space="preserve">6.1. Способами обеспечения исполнения Контракта являются банковская гарантия, выданная банком, или внесение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w:t>
      </w:r>
    </w:p>
    <w:p>
      <w:pPr>
        <w:pStyle w:val="Normal"/>
        <w:ind w:firstLine="709"/>
        <w:jc w:val="both"/>
        <w:rPr>
          <w:i/>
          <w:i/>
          <w:iCs/>
        </w:rPr>
      </w:pPr>
      <w:r>
        <w:rPr>
          <w:color w:val="000000"/>
        </w:rPr>
        <w:t xml:space="preserve">6.2. </w:t>
      </w:r>
      <w:r>
        <w:rPr/>
        <w:t>Условием заключения Контракта является предоставление Поставщиком обеспечения исполнения Контракта. Обеспечение исполнения настоящего Контракта установлено в размере 3 % - 76 593,69</w:t>
      </w:r>
      <w:r>
        <w:rPr>
          <w:b/>
          <w:sz w:val="24"/>
          <w:szCs w:val="24"/>
        </w:rPr>
        <w:t xml:space="preserve"> </w:t>
      </w:r>
      <w:r>
        <w:rPr/>
        <w:t xml:space="preserve">рублей. </w:t>
      </w:r>
    </w:p>
    <w:p>
      <w:pPr>
        <w:pStyle w:val="Normal"/>
        <w:ind w:firstLine="709"/>
        <w:jc w:val="both"/>
        <w:rPr>
          <w:b/>
          <w:b/>
        </w:rPr>
      </w:pPr>
      <w:r>
        <w:rPr/>
        <w:t>6.3. В случае, если обеспечение исполнения Контракта осуществляется в форме внесения денежных средств, Заказчик вправе при неисполнении обязательства, а также при существенном нарушении Контракта во внесудебном порядке обратить взыскание на подлежащие уплате неустойку (штраф, пени), убытки, которые перечисляются в федеральный бюджет из денежных средств, внесенных в качестве обеспечения исполнения Контракта.</w:t>
      </w:r>
    </w:p>
    <w:p>
      <w:pPr>
        <w:pStyle w:val="Normal"/>
        <w:ind w:firstLine="709"/>
        <w:jc w:val="both"/>
        <w:rPr>
          <w:b/>
          <w:b/>
        </w:rPr>
      </w:pPr>
      <w:r>
        <w:rPr/>
        <w:t>6.4. В случае, если обеспечение исполнения Контракта осуществляется в форме банковской гарантии, Заказчик вправе при неисполнении либо ненадлежащем исполнении обязательства, а также при существенном нарушении Контракта обратить взыскание на сумму, обеспеченную банковской гарантией.</w:t>
      </w:r>
    </w:p>
    <w:p>
      <w:pPr>
        <w:pStyle w:val="Normal"/>
        <w:ind w:firstLine="709"/>
        <w:jc w:val="both"/>
        <w:rPr/>
      </w:pPr>
      <w:r>
        <w:rPr/>
        <w:t xml:space="preserve">6.5. В случае если в качестве формы обеспечения исполнения Контракта выбрано внесение денежных средств, то обеспечение исполнения контракта возвращается Исполнителю в течение 10 (десяти) рабочих дней после исполнения (прекращения) обязательств по Контракту. </w:t>
      </w:r>
    </w:p>
    <w:p>
      <w:pPr>
        <w:pStyle w:val="Normal"/>
        <w:ind w:firstLine="709"/>
        <w:jc w:val="both"/>
        <w:rPr/>
      </w:pPr>
      <w:r>
        <w:rPr/>
        <w:t>6.6. Обеспечение исполнения Контракта предоставляется Заказчику до заключения Контракта. Способ обеспечения исполнения Контракта определяется Исполнителем самостоятельно.</w:t>
      </w:r>
    </w:p>
    <w:p>
      <w:pPr>
        <w:pStyle w:val="Normal"/>
        <w:ind w:firstLine="709"/>
        <w:jc w:val="both"/>
        <w:rPr/>
      </w:pPr>
      <w:r>
        <w:rPr/>
        <w:t xml:space="preserve">6.7. В случае если обеспечение исполнения Контракта осуществляется в форме банковской гарантии, срок действия банковской гарантии должен превышать срок действия Контракта не менее чем на один месяц. </w:t>
      </w:r>
    </w:p>
    <w:p>
      <w:pPr>
        <w:pStyle w:val="Normal"/>
        <w:ind w:firstLine="709"/>
        <w:jc w:val="both"/>
        <w:rPr/>
      </w:pPr>
      <w:r>
        <w:rPr/>
        <w:t xml:space="preserve">6.8. В случае если в качестве формы обеспечения исполнения Контракта выбрано внесение денежных средств, то обеспечение исполнения Контракта возвращается Исполнителю в течение 15 (пятнадцати) календарных дней после исполнения (прекращения) обязательств по Контракту. </w:t>
      </w:r>
    </w:p>
    <w:p>
      <w:pPr>
        <w:pStyle w:val="Normal"/>
        <w:ind w:firstLine="709"/>
        <w:jc w:val="both"/>
        <w:rPr/>
      </w:pPr>
      <w:r>
        <w:rPr/>
        <w:t>6.9. Денежные средства возвращаются Заказчиком на основании письменного требования (заявления) Исполнителя на банковский счет, указанный Исполнителем. Заявление составляется в произвольной форме с содержанием необходимых реквизитов Сторон.</w:t>
      </w:r>
    </w:p>
    <w:p>
      <w:pPr>
        <w:pStyle w:val="Normal"/>
        <w:ind w:firstLine="709"/>
        <w:jc w:val="both"/>
        <w:rPr/>
      </w:pPr>
      <w:r>
        <w:rPr/>
        <w:t>6.10. Участник закупки, с которым заключается контракт по результатам определения поставщика (подрядчика, исполнителя) в соответствии с пунктом 1 части 1 статьи 30 44-ФЗ, освобождается от предоставления обеспечения исполнения контракта, в том числе с учетом положений статьи 37 ФЗ- 44, в случае предоставления таким участником закупки информации, содержащейся в реестре контрактов, заключенных заказчиками, и подтверждающей исполнение таким участником (без учета правопреемства) в течение трех лет до даты подачи заявки на участие в закупке трех контрактов, исполненных без применения к такому участнику неустоек (штрафов, пеней). Такая информация представляется участником закупки до заключения контракта в случаях, установленных настоящим Федеральным законом для предоставления обеспечения исполнения контракта. При этом сумма цен таких контрактов должна составлять не менее начальной (максимальной) цены контракта, указанной в извещении об осуществлении закупки и документации о закупке.</w:t>
      </w:r>
    </w:p>
    <w:p>
      <w:pPr>
        <w:pStyle w:val="Normal"/>
        <w:numPr>
          <w:ilvl w:val="0"/>
          <w:numId w:val="2"/>
        </w:numPr>
        <w:ind w:left="0" w:hanging="0"/>
        <w:jc w:val="center"/>
        <w:rPr>
          <w:b/>
          <w:b/>
          <w:bCs/>
        </w:rPr>
      </w:pPr>
      <w:r>
        <w:rPr>
          <w:b/>
          <w:bCs/>
        </w:rPr>
        <w:t>СРОК ДЕЙСТВИЯ КОНТРАКТА</w:t>
      </w:r>
    </w:p>
    <w:p>
      <w:pPr>
        <w:pStyle w:val="Normal"/>
        <w:numPr>
          <w:ilvl w:val="1"/>
          <w:numId w:val="2"/>
        </w:numPr>
        <w:tabs>
          <w:tab w:val="clear" w:pos="708"/>
          <w:tab w:val="left" w:pos="440" w:leader="none"/>
        </w:tabs>
        <w:ind w:left="0" w:firstLine="709"/>
        <w:jc w:val="both"/>
        <w:rPr/>
      </w:pPr>
      <w:r>
        <w:rPr/>
        <w:t>Настоящий контракт, вступает в силу с _________  по _____________, а по взаиморасчетам – до полного исполнения обязательств Сторонами.</w:t>
      </w:r>
    </w:p>
    <w:p>
      <w:pPr>
        <w:pStyle w:val="Normal"/>
        <w:numPr>
          <w:ilvl w:val="1"/>
          <w:numId w:val="2"/>
        </w:numPr>
        <w:tabs>
          <w:tab w:val="clear" w:pos="708"/>
          <w:tab w:val="left" w:pos="440" w:leader="none"/>
        </w:tabs>
        <w:ind w:left="0" w:firstLine="709"/>
        <w:jc w:val="both"/>
        <w:rPr/>
      </w:pPr>
      <w:r>
        <w:rPr/>
        <w:t xml:space="preserve">Настоящий контракт </w:t>
      </w:r>
      <w:r>
        <w:rPr>
          <w:spacing w:val="-4"/>
        </w:rPr>
        <w:t>может быть расторгнут по соглашению Сторон или по решению суда.</w:t>
      </w:r>
    </w:p>
    <w:p>
      <w:pPr>
        <w:pStyle w:val="Normal"/>
        <w:numPr>
          <w:ilvl w:val="1"/>
          <w:numId w:val="2"/>
        </w:numPr>
        <w:tabs>
          <w:tab w:val="clear" w:pos="708"/>
          <w:tab w:val="left" w:pos="440" w:leader="none"/>
        </w:tabs>
        <w:ind w:left="0" w:firstLine="709"/>
        <w:jc w:val="both"/>
        <w:rPr/>
      </w:pPr>
      <w:r>
        <w:rPr/>
        <w:t>Заказчик вправе в одностороннем порядке отказаться от исполнения Контракта по основаниям, предусмотренным Гражданским кодексом российской Федерации.</w:t>
      </w:r>
    </w:p>
    <w:p>
      <w:pPr>
        <w:pStyle w:val="Normal"/>
        <w:numPr>
          <w:ilvl w:val="1"/>
          <w:numId w:val="2"/>
        </w:numPr>
        <w:tabs>
          <w:tab w:val="clear" w:pos="708"/>
          <w:tab w:val="left" w:pos="0" w:leader="none"/>
        </w:tabs>
        <w:ind w:left="0" w:firstLine="709"/>
        <w:jc w:val="both"/>
        <w:rPr/>
      </w:pPr>
      <w:r>
        <w:rPr/>
        <w:t>Настоящий Контракт составлен в форме электронного документа, подписанного электронными подписями.</w:t>
      </w:r>
    </w:p>
    <w:p>
      <w:pPr>
        <w:pStyle w:val="ListParagraph"/>
        <w:numPr>
          <w:ilvl w:val="0"/>
          <w:numId w:val="2"/>
        </w:numPr>
        <w:jc w:val="center"/>
        <w:rPr>
          <w:b/>
          <w:b/>
        </w:rPr>
      </w:pPr>
      <w:r>
        <w:rPr>
          <w:b/>
        </w:rPr>
        <w:t>ВОЗМОЖНОСТЬ ОДНОСТОРОННЕГО ОТКАЗА ОТ ИСПОЛНЕНИЯ КОНТРАКТА.</w:t>
      </w:r>
    </w:p>
    <w:p>
      <w:pPr>
        <w:pStyle w:val="ListParagraph"/>
        <w:widowControl w:val="false"/>
        <w:ind w:left="0" w:firstLine="709"/>
        <w:jc w:val="both"/>
        <w:rPr/>
      </w:pPr>
      <w:r>
        <w:rPr/>
        <w:t>8.1.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w:t>
      </w:r>
    </w:p>
    <w:p>
      <w:pPr>
        <w:pStyle w:val="ListParagraph"/>
        <w:widowControl w:val="false"/>
        <w:ind w:left="0" w:firstLine="709"/>
        <w:jc w:val="both"/>
        <w:rPr/>
      </w:pPr>
      <w:r>
        <w:rPr/>
        <w:t>8.2.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при условии, если это было предусмотрено Контрактом.</w:t>
      </w:r>
    </w:p>
    <w:p>
      <w:pPr>
        <w:pStyle w:val="ListParagraph"/>
        <w:widowControl w:val="false"/>
        <w:ind w:left="0" w:firstLine="709"/>
        <w:jc w:val="both"/>
        <w:rPr/>
      </w:pPr>
      <w:r>
        <w:rPr/>
        <w:t xml:space="preserve">8.3. Заказчик вправе провести экспертизу поставленного Товара, выполненной работы, оказанной услуги с привлечением экспертов, экспертных организаций до принятия решения об одностороннем отказе от исполнения Контракта в соответствии с </w:t>
      </w:r>
      <w:hyperlink w:anchor="Par1846">
        <w:r>
          <w:rPr/>
          <w:t>частью 8</w:t>
        </w:r>
      </w:hyperlink>
      <w:r>
        <w:rPr/>
        <w:t xml:space="preserve"> статьи 95 Федерального закона о Контрактной системе.</w:t>
      </w:r>
    </w:p>
    <w:p>
      <w:pPr>
        <w:pStyle w:val="ListParagraph"/>
        <w:widowControl w:val="false"/>
        <w:ind w:left="0" w:firstLine="709"/>
        <w:jc w:val="both"/>
        <w:rPr/>
      </w:pPr>
      <w:r>
        <w:rPr/>
        <w:t>8.4. Если Заказчиком проведена экспертиза поставленного Товара, выполненной работы или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поставленного Товара, выполненной работы или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pPr>
        <w:pStyle w:val="ListParagraph"/>
        <w:widowControl w:val="false"/>
        <w:ind w:left="0" w:firstLine="709"/>
        <w:jc w:val="both"/>
        <w:rPr/>
      </w:pPr>
      <w:r>
        <w:rPr/>
        <w:t>8.5. Решение Заказчика об одностороннем отказе от исполнения Контракта в течение одного рабочего дня, следующего за датой принятия указанного решения, размещается в единой информационной системе и направляется Исполнителю по почте заказным письмом с уведомлением о вручении по адресу Исполнителя,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заказчиком подтверждения о его вручении Исполнителю. Выполнение Заказчиком требований настоящей части считается надлежащим уведомлением Исполнителя об одностороннем отказе от исполнения Контракта. Датой такого надлежащего уведомления признается дата получения Заказчиком подтверждения о вручении Исполнителем указанного уведомления либо дата получения Заказчиком информации об отсутствии Исполнителя по его адресу, указанному в Контракте. При невозможности получения указанных подтверждения либо информации датой такого надлежащего уведомления признается дата по истечении тридцати дней с даты размещения решения заказчика об одностороннем отказе от исполнения Контракта в единой информационной системе.</w:t>
      </w:r>
    </w:p>
    <w:p>
      <w:pPr>
        <w:pStyle w:val="ListParagraph"/>
        <w:widowControl w:val="false"/>
        <w:ind w:left="0" w:firstLine="709"/>
        <w:jc w:val="both"/>
        <w:rPr/>
      </w:pPr>
      <w:r>
        <w:rPr/>
        <w:t>8.6.  Решение Заказчика об одностороннем отказе от исполнения Контракта вступает в силу и Контракт считается расторгнутым через десять дней с даты надлежащего уведомления заказчиком Исполнителя об одностороннем отказе от исполнения Контракта.</w:t>
      </w:r>
    </w:p>
    <w:p>
      <w:pPr>
        <w:pStyle w:val="ListParagraph"/>
        <w:widowControl w:val="false"/>
        <w:ind w:left="0" w:firstLine="709"/>
        <w:jc w:val="both"/>
        <w:rPr/>
      </w:pPr>
      <w:r>
        <w:rPr/>
        <w:t xml:space="preserve">8.7. 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в соответствии с </w:t>
      </w:r>
      <w:hyperlink w:anchor="Par1849">
        <w:r>
          <w:rPr/>
          <w:t>частью 10</w:t>
        </w:r>
      </w:hyperlink>
      <w:r>
        <w:rPr/>
        <w:t xml:space="preserve">  статьи 95 Федерального закона о Контрактной системе. Данное правило не применяется в случае повторного нарушения Исполнителя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pPr>
        <w:pStyle w:val="ListParagraph"/>
        <w:widowControl w:val="false"/>
        <w:ind w:left="0" w:firstLine="709"/>
        <w:jc w:val="both"/>
        <w:rPr/>
      </w:pPr>
      <w:r>
        <w:rPr/>
        <w:t>8.8. Заказчик обязан принять решение об одностороннем отказе от исполнения Контракта, если в ходе исполнения Контракта установлено, что Исполнитель не соответствует установленным документацией о закупке требованиям к участникам закупки или предоставил недостоверную информацию о своем соответствии таким требованиям, что позволило ему стать победителем определения Исполнителя.</w:t>
      </w:r>
    </w:p>
    <w:p>
      <w:pPr>
        <w:pStyle w:val="ListParagraph"/>
        <w:widowControl w:val="false"/>
        <w:ind w:left="0" w:firstLine="709"/>
        <w:jc w:val="both"/>
        <w:rPr/>
      </w:pPr>
      <w:r>
        <w:rPr/>
        <w:t>8.9. Информация о Исполнителе, с которым Контракт был расторгнут в связи с односторонним отказом Заказчика от исполнения Контракта, включается в установленном настоящим Федеральным законом порядке в реестр недобросовестных Поставщиков.</w:t>
      </w:r>
    </w:p>
    <w:p>
      <w:pPr>
        <w:pStyle w:val="ListParagraph"/>
        <w:widowControl w:val="false"/>
        <w:ind w:left="0" w:firstLine="709"/>
        <w:jc w:val="both"/>
        <w:rPr/>
      </w:pPr>
      <w:r>
        <w:rPr/>
        <w:t xml:space="preserve">8.10. В случае расторжения Контракта в связи с односторонним отказом Заказчика от исполнения Контракта Заказчик вправе осуществить закупку Товара, работы, услуги, поставка, выполнение, оказание которых являлись предметом расторгнутого Контракта, в соответствии с положениями </w:t>
      </w:r>
      <w:hyperlink w:anchor="Par1550">
        <w:r>
          <w:rPr/>
          <w:t>пункта 6 части 2 статьи 83</w:t>
        </w:r>
      </w:hyperlink>
      <w:r>
        <w:rPr/>
        <w:t xml:space="preserve"> Федерального закона о Контрактной системе.</w:t>
      </w:r>
    </w:p>
    <w:p>
      <w:pPr>
        <w:pStyle w:val="ListParagraph"/>
        <w:widowControl w:val="false"/>
        <w:ind w:left="0" w:firstLine="709"/>
        <w:jc w:val="both"/>
        <w:rPr/>
      </w:pPr>
      <w:r>
        <w:rPr/>
        <w:t xml:space="preserve">8.11. Если до расторжения Контракта Исполнитель частично исполнил обязательства, предусмотренные Контрактом, при заключении нового Контракта количество поставляемого Товара, объем выполняемой работы или оказываемой услуги должны быть уменьшены с учетом количества поставленного Товара, объема выполненной работы или оказанной услуги по расторгнутому Контракту. При этом цена Контракта, заключаемого в соответствии с </w:t>
      </w:r>
      <w:hyperlink w:anchor="Par1856">
        <w:r>
          <w:rPr/>
          <w:t>частью 17</w:t>
        </w:r>
      </w:hyperlink>
      <w:r>
        <w:rPr/>
        <w:t xml:space="preserve"> статьи 95 Федерального закона о Контрактной системе, должна быть уменьшена пропорционально количеству поставленного Товара, объему выполненной работы или оказанной услуги.</w:t>
      </w:r>
    </w:p>
    <w:p>
      <w:pPr>
        <w:pStyle w:val="ListParagraph"/>
        <w:widowControl w:val="false"/>
        <w:ind w:left="0" w:firstLine="709"/>
        <w:jc w:val="both"/>
        <w:rPr/>
      </w:pPr>
      <w:r>
        <w:rPr/>
        <w:t>8.12.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если в Контракте было предусмотрено право заказчика принять решение об одностороннем отказе от исполнения Контракта.</w:t>
      </w:r>
    </w:p>
    <w:p>
      <w:pPr>
        <w:pStyle w:val="ListParagraph"/>
        <w:widowControl w:val="false"/>
        <w:ind w:left="0" w:firstLine="709"/>
        <w:jc w:val="both"/>
        <w:rPr/>
      </w:pPr>
      <w:r>
        <w:rPr/>
        <w:t>8.13. Решение Исполнителя об одностороннем отказе от исполнения Контракта в течение одного рабочего дня, следующего за датой принятия такого решения, направляется заказчику по почте заказным письмом с уведомлением о вручении по адресу Заказчика, указанному в Контракте, а также телеграммой, либо посредством факсимильной связи, либо по адресу электронной почты, либо с использованием иных средств связи и доставки, обеспечивающих фиксирование такого уведомления и получение Исполнителем подтверждения о его вручении Заказчику. Выполнение Исполнителем требований настоящей части считается надлежащим уведомлением Заказчика об одностороннем отказе от исполнения Контракта. Датой такого надлежащего уведомления признается дата получения Исполнителем подтверждения о вручении заказчику указанного уведомления.</w:t>
      </w:r>
    </w:p>
    <w:p>
      <w:pPr>
        <w:pStyle w:val="ListParagraph"/>
        <w:widowControl w:val="false"/>
        <w:ind w:left="0" w:firstLine="709"/>
        <w:jc w:val="both"/>
        <w:rPr/>
      </w:pPr>
      <w:r>
        <w:rPr/>
        <w:t>7.14. Решение Исполнителя об одностороннем отказе от исполнения Контракта вступает в силу и Контракт считается расторгнутым через десять дней с даты надлежащего уведомления Исполнителем Заказчика об одностороннем отказе от исполнения Контракта.</w:t>
      </w:r>
    </w:p>
    <w:p>
      <w:pPr>
        <w:pStyle w:val="ListParagraph"/>
        <w:widowControl w:val="false"/>
        <w:ind w:left="0" w:firstLine="709"/>
        <w:jc w:val="both"/>
        <w:rPr/>
      </w:pPr>
      <w:r>
        <w:rPr/>
        <w:t>8.15.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pPr>
        <w:pStyle w:val="ListParagraph"/>
        <w:widowControl w:val="false"/>
        <w:ind w:left="0" w:firstLine="709"/>
        <w:jc w:val="both"/>
        <w:rPr/>
      </w:pPr>
      <w:r>
        <w:rPr/>
        <w:t>8.16.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pPr>
        <w:pStyle w:val="ListParagraph"/>
        <w:widowControl w:val="false"/>
        <w:ind w:left="0" w:firstLine="709"/>
        <w:jc w:val="both"/>
        <w:rPr/>
      </w:pPr>
      <w:r>
        <w:rPr/>
        <w:t>8.17. В случае расторжения Контракта в связи с односторонним отказом Исполнителя  от исполнения Контракта Заказчик осуществляет закупку Товара, работы, услуги, поставка, выполнение, оказание которых являлись предметом расторгнутого Контракта, в соответствии с положениями настоящего Федерального закона.</w:t>
      </w:r>
    </w:p>
    <w:p>
      <w:pPr>
        <w:pStyle w:val="Normal"/>
        <w:tabs>
          <w:tab w:val="clear" w:pos="708"/>
          <w:tab w:val="left" w:pos="0" w:leader="none"/>
        </w:tabs>
        <w:ind w:left="709" w:hanging="0"/>
        <w:jc w:val="both"/>
        <w:rPr/>
      </w:pPr>
      <w:r>
        <w:rPr/>
      </w:r>
    </w:p>
    <w:p>
      <w:pPr>
        <w:pStyle w:val="Normal"/>
        <w:numPr>
          <w:ilvl w:val="0"/>
          <w:numId w:val="2"/>
        </w:numPr>
        <w:ind w:left="0" w:hanging="0"/>
        <w:jc w:val="center"/>
        <w:rPr>
          <w:b/>
          <w:b/>
          <w:bCs/>
        </w:rPr>
      </w:pPr>
      <w:r>
        <w:rPr>
          <w:b/>
          <w:bCs/>
        </w:rPr>
        <w:t>ЗАКЛЮЧИТЕЛЬНЫЕ ПОЛОЖЕНИЯ</w:t>
      </w:r>
    </w:p>
    <w:p>
      <w:pPr>
        <w:pStyle w:val="Normal"/>
        <w:numPr>
          <w:ilvl w:val="1"/>
          <w:numId w:val="2"/>
        </w:numPr>
        <w:ind w:left="0" w:firstLine="709"/>
        <w:jc w:val="both"/>
        <w:rPr/>
      </w:pPr>
      <w:r>
        <w:rPr/>
        <w:t>Все споры, которые возникают при исполнении настоящего Контракта, стороны будут решать путем переговоров. При не достижении согласия споры разрешаются в Арбитражном суде Нижегородской области, предусмотренном действующим законодательством РФ.</w:t>
      </w:r>
    </w:p>
    <w:p>
      <w:pPr>
        <w:pStyle w:val="Normal"/>
        <w:numPr>
          <w:ilvl w:val="1"/>
          <w:numId w:val="2"/>
        </w:numPr>
        <w:tabs>
          <w:tab w:val="clear" w:pos="708"/>
          <w:tab w:val="left" w:pos="426" w:leader="none"/>
        </w:tabs>
        <w:ind w:left="0" w:firstLine="709"/>
        <w:jc w:val="both"/>
        <w:rPr/>
      </w:pPr>
      <w:r>
        <w:rPr/>
        <w:t xml:space="preserve"> </w:t>
      </w:r>
      <w:r>
        <w:rPr/>
        <w:t>Настоящий контракт составлен в 2 (двух) экземплярах, имеющих одинаковую юридическую силу.</w:t>
      </w:r>
    </w:p>
    <w:p>
      <w:pPr>
        <w:pStyle w:val="Normal"/>
        <w:numPr>
          <w:ilvl w:val="1"/>
          <w:numId w:val="2"/>
        </w:numPr>
        <w:ind w:left="0" w:firstLine="709"/>
        <w:jc w:val="both"/>
        <w:rPr/>
      </w:pPr>
      <w:r>
        <w:rPr/>
        <w:t>С момента подписания настоящего контракта все переговоры, переписка и договоренности, предшествующие заключению настоящего контракта, утрачивают силу.</w:t>
      </w:r>
    </w:p>
    <w:p>
      <w:pPr>
        <w:pStyle w:val="Normal"/>
        <w:numPr>
          <w:ilvl w:val="1"/>
          <w:numId w:val="2"/>
        </w:numPr>
        <w:ind w:left="0" w:firstLine="709"/>
        <w:jc w:val="both"/>
        <w:rPr/>
      </w:pPr>
      <w:r>
        <w:rPr/>
        <w:t>Взаимоотношения Сторон, неурегулированные настоящим контрактом, регламентируются действующим законодательством.</w:t>
      </w:r>
    </w:p>
    <w:p>
      <w:pPr>
        <w:pStyle w:val="Normal"/>
        <w:tabs>
          <w:tab w:val="clear" w:pos="708"/>
          <w:tab w:val="left" w:pos="0" w:leader="none"/>
        </w:tabs>
        <w:ind w:firstLine="709"/>
        <w:jc w:val="both"/>
        <w:rPr/>
      </w:pPr>
      <w:r>
        <w:rPr>
          <w:rFonts w:eastAsia="Calibri"/>
          <w:lang w:eastAsia="en-US"/>
        </w:rPr>
        <w:t xml:space="preserve">8.5.При заключении и исполнении Контракта изменение его условий не допускается, за исключением случаев, предусмотренных ст. 34 и ст. 95 Федерального закона № 44-ФЗ </w:t>
      </w:r>
      <w:r>
        <w:rPr/>
        <w:t>«О контрактной системе в сфере закупок товаров, работ, услуг для обеспечения государственных и муниципальных нужд».</w:t>
      </w:r>
    </w:p>
    <w:p>
      <w:pPr>
        <w:pStyle w:val="Normal"/>
        <w:tabs>
          <w:tab w:val="clear" w:pos="708"/>
          <w:tab w:val="left" w:pos="0" w:leader="none"/>
        </w:tabs>
        <w:jc w:val="both"/>
        <w:rPr/>
      </w:pPr>
      <w:r>
        <w:rPr/>
      </w:r>
    </w:p>
    <w:p>
      <w:pPr>
        <w:pStyle w:val="Normal"/>
        <w:ind w:firstLine="567"/>
        <w:jc w:val="center"/>
        <w:rPr>
          <w:rFonts w:eastAsia="Calibri"/>
          <w:b/>
          <w:b/>
          <w:lang w:eastAsia="en-US"/>
        </w:rPr>
      </w:pPr>
      <w:r>
        <w:rPr>
          <w:rFonts w:eastAsia="Calibri"/>
          <w:b/>
          <w:lang w:eastAsia="en-US"/>
        </w:rPr>
        <w:t>9.  РЕКВИЗИТЫ СТОРОН</w:t>
      </w:r>
    </w:p>
    <w:p>
      <w:pPr>
        <w:pStyle w:val="Normal"/>
        <w:ind w:firstLine="567"/>
        <w:jc w:val="both"/>
        <w:rPr>
          <w:rFonts w:eastAsia="Calibri"/>
          <w:b/>
          <w:b/>
          <w:lang w:eastAsia="en-US"/>
        </w:rPr>
      </w:pPr>
      <w:r>
        <w:rPr>
          <w:rFonts w:eastAsia="Calibri"/>
          <w:b/>
          <w:lang w:eastAsia="en-US"/>
        </w:rPr>
      </w:r>
    </w:p>
    <w:tbl>
      <w:tblPr>
        <w:tblW w:w="9750" w:type="dxa"/>
        <w:jc w:val="left"/>
        <w:tblInd w:w="-79" w:type="dxa"/>
        <w:tblLayout w:type="fixed"/>
        <w:tblCellMar>
          <w:top w:w="0" w:type="dxa"/>
          <w:left w:w="108" w:type="dxa"/>
          <w:bottom w:w="0" w:type="dxa"/>
          <w:right w:w="108" w:type="dxa"/>
        </w:tblCellMar>
        <w:tblLook w:val="0000"/>
      </w:tblPr>
      <w:tblGrid>
        <w:gridCol w:w="4875"/>
        <w:gridCol w:w="4874"/>
      </w:tblGrid>
      <w:tr>
        <w:trPr>
          <w:trHeight w:val="1075" w:hRule="atLeast"/>
        </w:trPr>
        <w:tc>
          <w:tcPr>
            <w:tcW w:w="4875" w:type="dxa"/>
            <w:tcBorders/>
          </w:tcPr>
          <w:p>
            <w:pPr>
              <w:pStyle w:val="Normal"/>
              <w:widowControl w:val="false"/>
              <w:jc w:val="both"/>
              <w:rPr>
                <w:b/>
                <w:b/>
                <w:bCs/>
                <w:u w:val="single"/>
              </w:rPr>
            </w:pPr>
            <w:r>
              <w:rPr>
                <w:b/>
                <w:bCs/>
                <w:u w:val="single"/>
              </w:rPr>
              <w:t>ЗАКАЗЧИК:</w:t>
            </w:r>
          </w:p>
          <w:p>
            <w:pPr>
              <w:pStyle w:val="Normal"/>
              <w:widowControl w:val="false"/>
              <w:jc w:val="both"/>
              <w:rPr>
                <w:b/>
                <w:b/>
                <w:bCs/>
                <w:u w:val="single"/>
              </w:rPr>
            </w:pPr>
            <w:r>
              <w:rPr/>
            </w:r>
          </w:p>
          <w:p>
            <w:pPr>
              <w:pStyle w:val="Normal"/>
              <w:widowControl w:val="false"/>
              <w:shd w:val="clear" w:color="auto" w:fill="FFFFFF"/>
              <w:tabs>
                <w:tab w:val="clear" w:pos="708"/>
                <w:tab w:val="left" w:pos="1963" w:leader="underscore"/>
                <w:tab w:val="left" w:pos="4771" w:leader="none"/>
                <w:tab w:val="left" w:pos="6619" w:leader="underscore"/>
                <w:tab w:val="left" w:pos="8174" w:leader="underscore"/>
              </w:tabs>
              <w:jc w:val="both"/>
              <w:rPr/>
            </w:pPr>
            <w:r>
              <w:rPr/>
            </w:r>
          </w:p>
          <w:p>
            <w:pPr>
              <w:pStyle w:val="Normal"/>
              <w:widowControl w:val="false"/>
              <w:shd w:val="clear" w:color="auto" w:fill="FFFFFF"/>
              <w:tabs>
                <w:tab w:val="clear" w:pos="708"/>
                <w:tab w:val="left" w:pos="1963" w:leader="underscore"/>
                <w:tab w:val="left" w:pos="4771" w:leader="none"/>
                <w:tab w:val="left" w:pos="6619" w:leader="underscore"/>
                <w:tab w:val="left" w:pos="8174" w:leader="underscore"/>
              </w:tabs>
              <w:jc w:val="both"/>
              <w:rPr/>
            </w:pPr>
            <w:r>
              <w:rPr/>
              <w:t>_____________________</w:t>
            </w:r>
          </w:p>
          <w:p>
            <w:pPr>
              <w:pStyle w:val="Normal"/>
              <w:widowControl w:val="false"/>
              <w:jc w:val="both"/>
              <w:rPr>
                <w:rFonts w:eastAsia="Calibri"/>
                <w:b/>
                <w:b/>
                <w:u w:val="single"/>
              </w:rPr>
            </w:pPr>
            <w:r>
              <w:rPr>
                <w:rFonts w:eastAsia="Calibri"/>
                <w:b/>
                <w:u w:val="single"/>
              </w:rPr>
            </w:r>
          </w:p>
        </w:tc>
        <w:tc>
          <w:tcPr>
            <w:tcW w:w="4874" w:type="dxa"/>
            <w:tcBorders/>
          </w:tcPr>
          <w:p>
            <w:pPr>
              <w:pStyle w:val="Normal"/>
              <w:widowControl w:val="false"/>
              <w:jc w:val="both"/>
              <w:rPr>
                <w:rFonts w:eastAsia="Calibri"/>
                <w:b/>
                <w:b/>
                <w:u w:val="single"/>
              </w:rPr>
            </w:pPr>
            <w:r>
              <w:rPr>
                <w:rFonts w:eastAsia="Calibri"/>
                <w:b/>
                <w:u w:val="single"/>
              </w:rPr>
              <w:t>ИСПОЛНИТЕЛЬ:</w:t>
            </w:r>
          </w:p>
          <w:p>
            <w:pPr>
              <w:pStyle w:val="Normal"/>
              <w:widowControl w:val="false"/>
              <w:jc w:val="both"/>
              <w:rPr>
                <w:rFonts w:eastAsia="Calibri"/>
                <w:b/>
                <w:b/>
                <w:u w:val="single"/>
              </w:rPr>
            </w:pPr>
            <w:r>
              <w:rPr/>
            </w:r>
          </w:p>
          <w:p>
            <w:pPr>
              <w:pStyle w:val="Normal"/>
              <w:widowControl w:val="false"/>
              <w:jc w:val="both"/>
              <w:rPr>
                <w:rFonts w:eastAsia="Calibri"/>
                <w:b/>
                <w:b/>
                <w:u w:val="single"/>
              </w:rPr>
            </w:pPr>
            <w:r>
              <w:rPr/>
            </w:r>
          </w:p>
          <w:p>
            <w:pPr>
              <w:pStyle w:val="Normal"/>
              <w:widowControl w:val="false"/>
              <w:jc w:val="both"/>
              <w:rPr>
                <w:rFonts w:eastAsia="Calibri"/>
                <w:b/>
                <w:b/>
                <w:u w:val="single"/>
              </w:rPr>
            </w:pPr>
            <w:r>
              <w:rPr/>
              <w:t>__________________________</w:t>
            </w:r>
          </w:p>
        </w:tc>
      </w:tr>
    </w:tbl>
    <w:p>
      <w:pPr>
        <w:pStyle w:val="Normal"/>
        <w:tabs>
          <w:tab w:val="clear" w:pos="708"/>
          <w:tab w:val="left" w:pos="5760" w:leader="none"/>
        </w:tabs>
        <w:jc w:val="both"/>
        <w:rPr>
          <w:b/>
          <w:b/>
        </w:rPr>
      </w:pPr>
      <w:r>
        <w:rPr>
          <w:b/>
        </w:rPr>
      </w:r>
    </w:p>
    <w:p>
      <w:pPr>
        <w:pStyle w:val="Normal"/>
        <w:tabs>
          <w:tab w:val="clear" w:pos="708"/>
          <w:tab w:val="left" w:pos="5670" w:leader="none"/>
        </w:tabs>
        <w:ind w:left="5664" w:hanging="0"/>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red"/>
        </w:rPr>
      </w:r>
    </w:p>
    <w:p>
      <w:pPr>
        <w:pStyle w:val="Normal"/>
        <w:tabs>
          <w:tab w:val="clear" w:pos="708"/>
          <w:tab w:val="left" w:pos="5670" w:leader="none"/>
        </w:tabs>
        <w:jc w:val="both"/>
        <w:rPr>
          <w:highlight w:val="red"/>
        </w:rPr>
      </w:pPr>
      <w:r>
        <w:rPr>
          <w:highlight w:val="yellow"/>
        </w:rPr>
      </w:r>
    </w:p>
    <w:p>
      <w:pPr>
        <w:pStyle w:val="Normal"/>
        <w:rPr>
          <w:highlight w:val="yellow"/>
        </w:rPr>
      </w:pPr>
      <w:r>
        <w:rPr>
          <w:highlight w:val="yellow"/>
        </w:rPr>
      </w:r>
    </w:p>
    <w:p>
      <w:pPr>
        <w:pStyle w:val="Normal"/>
        <w:rPr>
          <w:highlight w:val="yellow"/>
        </w:rPr>
      </w:pPr>
      <w:r>
        <w:rPr>
          <w:highlight w:val="yellow"/>
        </w:rPr>
      </w:r>
    </w:p>
    <w:p>
      <w:pPr>
        <w:pStyle w:val="Normal"/>
        <w:rPr>
          <w:highlight w:val="yellow"/>
        </w:rPr>
      </w:pPr>
      <w:r>
        <w:rPr>
          <w:highlight w:val="yellow"/>
        </w:rPr>
      </w:r>
    </w:p>
    <w:p>
      <w:pPr>
        <w:pStyle w:val="Normal"/>
        <w:rPr>
          <w:highlight w:val="yellow"/>
        </w:rPr>
      </w:pPr>
      <w:r>
        <w:rPr>
          <w:highlight w:val="yellow"/>
        </w:rPr>
      </w:r>
    </w:p>
    <w:p>
      <w:pPr>
        <w:pStyle w:val="Normal"/>
        <w:rPr>
          <w:highlight w:val="yellow"/>
        </w:rPr>
      </w:pPr>
      <w:r>
        <w:rPr>
          <w:highlight w:val="yellow"/>
        </w:rPr>
      </w:r>
    </w:p>
    <w:p>
      <w:pPr>
        <w:pStyle w:val="Normal"/>
        <w:rPr>
          <w:highlight w:val="yellow"/>
        </w:rPr>
      </w:pPr>
      <w:r>
        <w:rPr>
          <w:highlight w:val="yellow"/>
        </w:rPr>
      </w:r>
    </w:p>
    <w:p>
      <w:pPr>
        <w:pStyle w:val="Normal"/>
        <w:rPr>
          <w:highlight w:val="yellow"/>
        </w:rPr>
      </w:pPr>
      <w:r>
        <w:rPr/>
      </w:r>
    </w:p>
    <w:sectPr>
      <w:type w:val="nextPage"/>
      <w:pgSz w:w="11906" w:h="16838"/>
      <w:pgMar w:left="1701" w:right="850"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Arial">
    <w:charset w:val="01"/>
    <w:family w:val="roman"/>
    <w:pitch w:val="default"/>
  </w:font>
  <w:font w:name="Calibri Light">
    <w:charset w:val="01"/>
    <w:family w:val="roman"/>
    <w:pitch w:val="default"/>
  </w:font>
  <w:font w:name="PT Astra Serif">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2"/>
      <w:numFmt w:val="decimal"/>
      <w:lvlText w:val="%1.%2"/>
      <w:lvlJc w:val="left"/>
      <w:pPr>
        <w:tabs>
          <w:tab w:val="num" w:pos="0"/>
        </w:tabs>
        <w:ind w:left="720" w:hanging="360"/>
      </w:pPr>
      <w:rPr>
        <w:color w:val="auto"/>
      </w:rPr>
    </w:lvl>
    <w:lvl w:ilvl="2">
      <w:start w:val="1"/>
      <w:numFmt w:val="decimal"/>
      <w:lvlText w:val="%1.%2.%3"/>
      <w:lvlJc w:val="left"/>
      <w:pPr>
        <w:tabs>
          <w:tab w:val="num" w:pos="0"/>
        </w:tabs>
        <w:ind w:left="1080" w:hanging="720"/>
      </w:pPr>
      <w:rPr>
        <w:color w:val="auto"/>
      </w:rPr>
    </w:lvl>
    <w:lvl w:ilvl="3">
      <w:start w:val="1"/>
      <w:numFmt w:val="decimal"/>
      <w:lvlText w:val="%1.%2.%3.%4"/>
      <w:lvlJc w:val="left"/>
      <w:pPr>
        <w:tabs>
          <w:tab w:val="num" w:pos="0"/>
        </w:tabs>
        <w:ind w:left="1080" w:hanging="720"/>
      </w:pPr>
      <w:rPr>
        <w:color w:val="auto"/>
      </w:rPr>
    </w:lvl>
    <w:lvl w:ilvl="4">
      <w:start w:val="1"/>
      <w:numFmt w:val="decimal"/>
      <w:lvlText w:val="%1.%2.%3.%4.%5"/>
      <w:lvlJc w:val="left"/>
      <w:pPr>
        <w:tabs>
          <w:tab w:val="num" w:pos="0"/>
        </w:tabs>
        <w:ind w:left="1440" w:hanging="1080"/>
      </w:pPr>
      <w:rPr>
        <w:color w:val="auto"/>
      </w:rPr>
    </w:lvl>
    <w:lvl w:ilvl="5">
      <w:start w:val="1"/>
      <w:numFmt w:val="decimal"/>
      <w:lvlText w:val="%1.%2.%3.%4.%5.%6"/>
      <w:lvlJc w:val="left"/>
      <w:pPr>
        <w:tabs>
          <w:tab w:val="num" w:pos="0"/>
        </w:tabs>
        <w:ind w:left="1440" w:hanging="1080"/>
      </w:pPr>
      <w:rPr>
        <w:color w:val="auto"/>
      </w:rPr>
    </w:lvl>
    <w:lvl w:ilvl="6">
      <w:start w:val="1"/>
      <w:numFmt w:val="decimal"/>
      <w:lvlText w:val="%1.%2.%3.%4.%5.%6.%7"/>
      <w:lvlJc w:val="left"/>
      <w:pPr>
        <w:tabs>
          <w:tab w:val="num" w:pos="0"/>
        </w:tabs>
        <w:ind w:left="1800" w:hanging="1440"/>
      </w:pPr>
      <w:rPr>
        <w:color w:val="auto"/>
      </w:rPr>
    </w:lvl>
    <w:lvl w:ilvl="7">
      <w:start w:val="1"/>
      <w:numFmt w:val="decimal"/>
      <w:lvlText w:val="%1.%2.%3.%4.%5.%6.%7.%8"/>
      <w:lvlJc w:val="left"/>
      <w:pPr>
        <w:tabs>
          <w:tab w:val="num" w:pos="0"/>
        </w:tabs>
        <w:ind w:left="1800" w:hanging="1440"/>
      </w:pPr>
      <w:rPr>
        <w:color w:val="auto"/>
      </w:rPr>
    </w:lvl>
    <w:lvl w:ilvl="8">
      <w:start w:val="1"/>
      <w:numFmt w:val="decimal"/>
      <w:lvlText w:val="%1.%2.%3.%4.%5.%6.%7.%8.%9"/>
      <w:lvlJc w:val="left"/>
      <w:pPr>
        <w:tabs>
          <w:tab w:val="num" w:pos="0"/>
        </w:tabs>
        <w:ind w:left="2160" w:hanging="1800"/>
      </w:pPr>
      <w:rPr>
        <w:color w:val="auto"/>
      </w:rPr>
    </w:lvl>
  </w:abstractNum>
  <w:abstractNum w:abstractNumId="2">
    <w:lvl w:ilvl="0">
      <w:start w:val="7"/>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3">
    <w:lvl w:ilvl="0">
      <w:start w:val="5"/>
      <w:numFmt w:val="decimal"/>
      <w:lvlText w:val="%1."/>
      <w:lvlJc w:val="left"/>
      <w:pPr>
        <w:tabs>
          <w:tab w:val="num" w:pos="0"/>
        </w:tabs>
        <w:ind w:left="3621" w:hanging="360"/>
      </w:pPr>
      <w:rPr/>
    </w:lvl>
    <w:lvl w:ilvl="1">
      <w:start w:val="1"/>
      <w:numFmt w:val="lowerLetter"/>
      <w:lvlText w:val="%2."/>
      <w:lvlJc w:val="left"/>
      <w:pPr>
        <w:tabs>
          <w:tab w:val="num" w:pos="0"/>
        </w:tabs>
        <w:ind w:left="4341" w:hanging="360"/>
      </w:pPr>
      <w:rPr/>
    </w:lvl>
    <w:lvl w:ilvl="2">
      <w:start w:val="1"/>
      <w:numFmt w:val="lowerRoman"/>
      <w:lvlText w:val="%3."/>
      <w:lvlJc w:val="right"/>
      <w:pPr>
        <w:tabs>
          <w:tab w:val="num" w:pos="0"/>
        </w:tabs>
        <w:ind w:left="5061" w:hanging="180"/>
      </w:pPr>
      <w:rPr/>
    </w:lvl>
    <w:lvl w:ilvl="3">
      <w:start w:val="1"/>
      <w:numFmt w:val="decimal"/>
      <w:lvlText w:val="%4."/>
      <w:lvlJc w:val="left"/>
      <w:pPr>
        <w:tabs>
          <w:tab w:val="num" w:pos="0"/>
        </w:tabs>
        <w:ind w:left="5781" w:hanging="360"/>
      </w:pPr>
      <w:rPr/>
    </w:lvl>
    <w:lvl w:ilvl="4">
      <w:start w:val="1"/>
      <w:numFmt w:val="lowerLetter"/>
      <w:lvlText w:val="%5."/>
      <w:lvlJc w:val="left"/>
      <w:pPr>
        <w:tabs>
          <w:tab w:val="num" w:pos="0"/>
        </w:tabs>
        <w:ind w:left="6501" w:hanging="360"/>
      </w:pPr>
      <w:rPr/>
    </w:lvl>
    <w:lvl w:ilvl="5">
      <w:start w:val="1"/>
      <w:numFmt w:val="lowerRoman"/>
      <w:lvlText w:val="%6."/>
      <w:lvlJc w:val="right"/>
      <w:pPr>
        <w:tabs>
          <w:tab w:val="num" w:pos="0"/>
        </w:tabs>
        <w:ind w:left="7221" w:hanging="180"/>
      </w:pPr>
      <w:rPr/>
    </w:lvl>
    <w:lvl w:ilvl="6">
      <w:start w:val="1"/>
      <w:numFmt w:val="decimal"/>
      <w:lvlText w:val="%7."/>
      <w:lvlJc w:val="left"/>
      <w:pPr>
        <w:tabs>
          <w:tab w:val="num" w:pos="0"/>
        </w:tabs>
        <w:ind w:left="7941" w:hanging="360"/>
      </w:pPr>
      <w:rPr/>
    </w:lvl>
    <w:lvl w:ilvl="7">
      <w:start w:val="1"/>
      <w:numFmt w:val="lowerLetter"/>
      <w:lvlText w:val="%8."/>
      <w:lvlJc w:val="left"/>
      <w:pPr>
        <w:tabs>
          <w:tab w:val="num" w:pos="0"/>
        </w:tabs>
        <w:ind w:left="8661" w:hanging="360"/>
      </w:pPr>
      <w:rPr/>
    </w:lvl>
    <w:lvl w:ilvl="8">
      <w:start w:val="1"/>
      <w:numFmt w:val="lowerRoman"/>
      <w:lvlText w:val="%9."/>
      <w:lvlJc w:val="right"/>
      <w:pPr>
        <w:tabs>
          <w:tab w:val="num" w:pos="0"/>
        </w:tabs>
        <w:ind w:left="9381"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Indent" w:uiPriority="0"/>
    <w:lsdException w:name="Subtitle" w:uiPriority="11" w:semiHidden="0" w:unhideWhenUsed="0" w:qFormat="1"/>
    <w:lsdException w:name="Body Text Indent 2" w:uiPriority="0"/>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c2188"/>
    <w:pPr>
      <w:widowControl/>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2">
    <w:name w:val="Heading 2"/>
    <w:basedOn w:val="Normal"/>
    <w:next w:val="Normal"/>
    <w:link w:val="212"/>
    <w:qFormat/>
    <w:rsid w:val="001c2188"/>
    <w:pPr>
      <w:keepNext w:val="true"/>
      <w:spacing w:before="240" w:after="60"/>
      <w:outlineLvl w:val="1"/>
    </w:pPr>
    <w:rPr>
      <w:rFonts w:ascii="Arial" w:hAnsi="Arial"/>
      <w:b/>
      <w:bCs/>
      <w:i/>
      <w:iCs/>
      <w:sz w:val="28"/>
      <w:szCs w:val="28"/>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uiPriority w:val="9"/>
    <w:semiHidden/>
    <w:qFormat/>
    <w:rsid w:val="001c2188"/>
    <w:rPr>
      <w:rFonts w:ascii="Calibri Light" w:hAnsi="Calibri Light" w:eastAsia="" w:cs="" w:asciiTheme="majorHAnsi" w:cstheme="majorBidi" w:eastAsiaTheme="majorEastAsia" w:hAnsiTheme="majorHAnsi"/>
      <w:color w:val="2F5496" w:themeColor="accent1" w:themeShade="bf"/>
      <w:sz w:val="26"/>
      <w:szCs w:val="26"/>
      <w:lang w:eastAsia="ru-RU"/>
    </w:rPr>
  </w:style>
  <w:style w:type="character" w:styleId="22" w:customStyle="1">
    <w:name w:val="Основной текст с отступом 2 Знак"/>
    <w:basedOn w:val="DefaultParagraphFont"/>
    <w:uiPriority w:val="99"/>
    <w:semiHidden/>
    <w:qFormat/>
    <w:rsid w:val="001c2188"/>
    <w:rPr>
      <w:rFonts w:ascii="Times New Roman" w:hAnsi="Times New Roman" w:eastAsia="Times New Roman" w:cs="Times New Roman"/>
      <w:sz w:val="20"/>
      <w:szCs w:val="20"/>
      <w:lang w:eastAsia="ru-RU"/>
    </w:rPr>
  </w:style>
  <w:style w:type="character" w:styleId="211" w:customStyle="1">
    <w:name w:val="Основной текст с отступом 2 Знак1"/>
    <w:link w:val="BodyTextIndent2"/>
    <w:qFormat/>
    <w:rsid w:val="001c2188"/>
    <w:rPr>
      <w:rFonts w:ascii="Times New Roman" w:hAnsi="Times New Roman" w:eastAsia="Times New Roman" w:cs="Times New Roman"/>
      <w:sz w:val="20"/>
      <w:szCs w:val="20"/>
      <w:lang w:eastAsia="ru-RU"/>
    </w:rPr>
  </w:style>
  <w:style w:type="character" w:styleId="Style13" w:customStyle="1">
    <w:name w:val="Основной текст с отступом Знак"/>
    <w:basedOn w:val="DefaultParagraphFont"/>
    <w:uiPriority w:val="99"/>
    <w:semiHidden/>
    <w:qFormat/>
    <w:rsid w:val="001c2188"/>
    <w:rPr>
      <w:rFonts w:ascii="Times New Roman" w:hAnsi="Times New Roman" w:eastAsia="Times New Roman" w:cs="Times New Roman"/>
      <w:sz w:val="20"/>
      <w:szCs w:val="20"/>
      <w:lang w:eastAsia="ru-RU"/>
    </w:rPr>
  </w:style>
  <w:style w:type="character" w:styleId="1" w:customStyle="1">
    <w:name w:val="Основной текст с отступом Знак1"/>
    <w:qFormat/>
    <w:rsid w:val="001c2188"/>
    <w:rPr>
      <w:rFonts w:ascii="Times New Roman" w:hAnsi="Times New Roman" w:eastAsia="Times New Roman" w:cs="Times New Roman"/>
      <w:sz w:val="24"/>
      <w:szCs w:val="24"/>
      <w:lang w:eastAsia="ru-RU"/>
    </w:rPr>
  </w:style>
  <w:style w:type="character" w:styleId="212" w:customStyle="1">
    <w:name w:val="Заголовок 2 Знак1"/>
    <w:qFormat/>
    <w:rsid w:val="001c2188"/>
    <w:rPr>
      <w:rFonts w:ascii="Arial" w:hAnsi="Arial" w:eastAsia="Times New Roman" w:cs="Times New Roman"/>
      <w:b/>
      <w:bCs/>
      <w:i/>
      <w:iCs/>
      <w:sz w:val="28"/>
      <w:szCs w:val="28"/>
    </w:rPr>
  </w:style>
  <w:style w:type="character" w:styleId="ConsPlusNormal" w:customStyle="1">
    <w:name w:val="ConsPlusNormal Знак"/>
    <w:link w:val="ConsPlusNormal1"/>
    <w:uiPriority w:val="99"/>
    <w:qFormat/>
    <w:rsid w:val="001c2188"/>
    <w:rPr>
      <w:rFonts w:ascii="Arial" w:hAnsi="Arial" w:eastAsia="Times New Roman" w:cs="Arial"/>
      <w:sz w:val="20"/>
      <w:szCs w:val="20"/>
      <w:lang w:eastAsia="ru-RU"/>
    </w:rPr>
  </w:style>
  <w:style w:type="character" w:styleId="Copytarget" w:customStyle="1">
    <w:name w:val="copy_target"/>
    <w:basedOn w:val="DefaultParagraphFont"/>
    <w:qFormat/>
    <w:rsid w:val="006f20c6"/>
    <w:rPr/>
  </w:style>
  <w:style w:type="character" w:styleId="Style14">
    <w:name w:val="Интернет-ссылка"/>
    <w:rPr>
      <w:color w:val="000080"/>
      <w:u w:val="single"/>
      <w:lang w:val="zxx" w:eastAsia="zxx" w:bidi="zxx"/>
    </w:rPr>
  </w:style>
  <w:style w:type="paragraph" w:styleId="Style15">
    <w:name w:val="Заголовок"/>
    <w:basedOn w:val="Normal"/>
    <w:next w:val="Style16"/>
    <w:qFormat/>
    <w:pPr>
      <w:keepNext w:val="true"/>
      <w:spacing w:before="240" w:after="120"/>
    </w:pPr>
    <w:rPr>
      <w:rFonts w:ascii="PT Astra Serif" w:hAnsi="PT Astra Serif" w:eastAsia="Tahoma" w:cs="Noto Sans Devanagari"/>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ascii="PT Astra Serif" w:hAnsi="PT Astra Serif" w:cs="Noto Sans Devanagari"/>
    </w:rPr>
  </w:style>
  <w:style w:type="paragraph" w:styleId="Style18">
    <w:name w:val="Caption"/>
    <w:basedOn w:val="Normal"/>
    <w:qFormat/>
    <w:pPr>
      <w:suppressLineNumbers/>
      <w:spacing w:before="120" w:after="120"/>
    </w:pPr>
    <w:rPr>
      <w:rFonts w:ascii="PT Astra Serif" w:hAnsi="PT Astra Serif" w:cs="Noto Sans Devanagari"/>
      <w:i/>
      <w:iCs/>
      <w:sz w:val="24"/>
      <w:szCs w:val="24"/>
    </w:rPr>
  </w:style>
  <w:style w:type="paragraph" w:styleId="Style19">
    <w:name w:val="Указатель"/>
    <w:basedOn w:val="Normal"/>
    <w:qFormat/>
    <w:pPr>
      <w:suppressLineNumbers/>
    </w:pPr>
    <w:rPr>
      <w:rFonts w:ascii="PT Astra Serif" w:hAnsi="PT Astra Serif" w:cs="Noto Sans Devanagari"/>
      <w:lang w:val="zxx" w:eastAsia="zxx" w:bidi="zxx"/>
    </w:rPr>
  </w:style>
  <w:style w:type="paragraph" w:styleId="Style20" w:customStyle="1">
    <w:name w:val="Îáû÷íûé"/>
    <w:qFormat/>
    <w:rsid w:val="001c2188"/>
    <w:pPr>
      <w:widowControl/>
      <w:suppressAutoHyphens w:val="true"/>
      <w:bidi w:val="0"/>
      <w:spacing w:lineRule="auto" w:line="240" w:before="0" w:after="0"/>
      <w:jc w:val="left"/>
    </w:pPr>
    <w:rPr>
      <w:rFonts w:ascii="Times New Roman" w:hAnsi="Times New Roman" w:eastAsia="Times New Roman" w:cs="Times New Roman"/>
      <w:color w:val="auto"/>
      <w:kern w:val="0"/>
      <w:sz w:val="20"/>
      <w:szCs w:val="20"/>
      <w:lang w:val="ru-RU" w:eastAsia="ru-RU" w:bidi="ar-SA"/>
    </w:rPr>
  </w:style>
  <w:style w:type="paragraph" w:styleId="ConsPlusNormal1" w:customStyle="1">
    <w:name w:val="ConsPlusNormal"/>
    <w:link w:val="ConsPlusNormal"/>
    <w:uiPriority w:val="99"/>
    <w:qFormat/>
    <w:rsid w:val="001c2188"/>
    <w:pPr>
      <w:widowControl w:val="false"/>
      <w:suppressAutoHyphens w:val="true"/>
      <w:bidi w:val="0"/>
      <w:spacing w:lineRule="auto" w:line="240" w:before="0" w:after="0"/>
      <w:ind w:firstLine="720"/>
      <w:jc w:val="left"/>
    </w:pPr>
    <w:rPr>
      <w:rFonts w:ascii="Arial" w:hAnsi="Arial" w:eastAsia="Times New Roman" w:cs="Arial"/>
      <w:color w:val="auto"/>
      <w:kern w:val="0"/>
      <w:sz w:val="20"/>
      <w:szCs w:val="20"/>
      <w:lang w:val="ru-RU" w:eastAsia="ru-RU" w:bidi="ar-SA"/>
    </w:rPr>
  </w:style>
  <w:style w:type="paragraph" w:styleId="BodyTextIndent2">
    <w:name w:val="Body Text Indent 2"/>
    <w:basedOn w:val="Normal"/>
    <w:link w:val="211"/>
    <w:qFormat/>
    <w:rsid w:val="001c2188"/>
    <w:pPr>
      <w:spacing w:lineRule="auto" w:line="480" w:before="0" w:after="120"/>
      <w:ind w:left="283" w:hanging="0"/>
    </w:pPr>
    <w:rPr/>
  </w:style>
  <w:style w:type="paragraph" w:styleId="Style21">
    <w:name w:val="Body Text Indent"/>
    <w:basedOn w:val="Normal"/>
    <w:link w:val="1"/>
    <w:rsid w:val="001c2188"/>
    <w:pPr>
      <w:spacing w:before="0" w:after="120"/>
      <w:ind w:left="283" w:hanging="0"/>
      <w:jc w:val="both"/>
    </w:pPr>
    <w:rPr>
      <w:sz w:val="24"/>
      <w:szCs w:val="24"/>
    </w:rPr>
  </w:style>
  <w:style w:type="paragraph" w:styleId="ListParagraph">
    <w:name w:val="List Paragraph"/>
    <w:basedOn w:val="Normal"/>
    <w:uiPriority w:val="34"/>
    <w:qFormat/>
    <w:rsid w:val="00fb70fc"/>
    <w:pPr>
      <w:spacing w:before="0" w:after="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consultantplus://offline/ref=65E6A8111D436E1AA627B2F6AB60EC06ECD9CFB3783DE855013F8C61418C2159E6FA43A3D4B6983B861711562C573E7B193F0DFA465633B1WFcCN" TargetMode="External"/><Relationship Id="rId3" Type="http://schemas.openxmlformats.org/officeDocument/2006/relationships/hyperlink" Target="consultantplus://offline/ref=65E6A8111D436E1AA627B2F6AB60EC06ECD9CFB3783DE855013F8C61418C2159F4FA1BAFD6B18E3E8702470769W0cBN" TargetMode="External"/><Relationship Id="rId4" Type="http://schemas.openxmlformats.org/officeDocument/2006/relationships/hyperlink" Target="consultantplus://offline/ref=65E6A8111D436E1AA627B2F6AB60EC06ECD9CFB3783DE855013F8C61418C2159E6FA43A3D4B698398E1711562C573E7B193F0DFA465633B1WFcCN"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A30045-8FCB-44B7-AE67-81F378534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Application>LibreOffice/7.3.6.2$Linux_X86_64 LibreOffice_project/30$Build-2</Application>
  <AppVersion>15.0000</AppVersion>
  <Pages>12</Pages>
  <Words>6731</Words>
  <Characters>38369</Characters>
  <CharactersWithSpaces>45010</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2024-12-04T13:40:00Z</dcterms:created>
  <dc:creator>Шиперев Сергей Валерьевич</dc:creator>
  <dc:description/>
  <dc:language>ru-RU</dc:language>
  <cp:lastModifiedBy/>
  <dcterms:modified xsi:type="dcterms:W3CDTF">2025-06-17T13:44:11Z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